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9F" w:rsidRPr="00392EF1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7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7DD02DB" wp14:editId="34C36A92">
            <wp:extent cx="4810539" cy="1948013"/>
            <wp:effectExtent l="0" t="0" r="0" b="0"/>
            <wp:docPr id="3" name="Resim 3" descr="C:\Users\DEKOP-5\AppData\Local\Microsoft\Windows\Temporary Internet Files\Content.Outlook\XF2AECJZ\dokap logo küçük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KOP-5\AppData\Local\Microsoft\Windows\Temporary Internet Files\Content.Outlook\XF2AECJZ\dokap logo küçük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60" cy="19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9F" w:rsidRDefault="0064579F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24ED" w:rsidRDefault="004024ED" w:rsidP="007A3B92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024ED" w:rsidRPr="00D6746B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55DE" w:rsidRPr="00392EF1" w:rsidRDefault="009846E1" w:rsidP="007A3B9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2519B8">
        <w:rPr>
          <w:rFonts w:ascii="Times New Roman" w:hAnsi="Times New Roman" w:cs="Times New Roman"/>
          <w:b/>
          <w:sz w:val="36"/>
          <w:szCs w:val="36"/>
        </w:rPr>
        <w:t>2</w:t>
      </w:r>
      <w:r w:rsidR="00842BBC" w:rsidRPr="00392EF1">
        <w:rPr>
          <w:rFonts w:ascii="Times New Roman" w:hAnsi="Times New Roman" w:cs="Times New Roman"/>
          <w:b/>
          <w:sz w:val="36"/>
          <w:szCs w:val="36"/>
        </w:rPr>
        <w:t xml:space="preserve"> YILI</w:t>
      </w:r>
    </w:p>
    <w:p w:rsidR="002F55DE" w:rsidRPr="00392EF1" w:rsidRDefault="002F55DE" w:rsidP="007A3B9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2EF1">
        <w:rPr>
          <w:rFonts w:ascii="Times New Roman" w:hAnsi="Times New Roman" w:cs="Times New Roman"/>
          <w:b/>
          <w:sz w:val="36"/>
          <w:szCs w:val="36"/>
        </w:rPr>
        <w:t>KURUMSAL MALİ DURUM VE BEKLENTİLER RAPORU</w:t>
      </w: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55DE" w:rsidRPr="00392EF1" w:rsidRDefault="001206B2" w:rsidP="007A3B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 202</w:t>
      </w:r>
      <w:r w:rsidR="002519B8">
        <w:rPr>
          <w:rFonts w:ascii="Times New Roman" w:hAnsi="Times New Roman" w:cs="Times New Roman"/>
          <w:sz w:val="24"/>
          <w:szCs w:val="24"/>
        </w:rPr>
        <w:t>2</w:t>
      </w: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6B9" w:rsidRPr="00392EF1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1A7" w:rsidRPr="00392EF1" w:rsidRDefault="00BC6E3B" w:rsidP="007A3B9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2EF1">
        <w:rPr>
          <w:rFonts w:ascii="Times New Roman" w:hAnsi="Times New Roman" w:cs="Times New Roman"/>
          <w:b/>
          <w:i/>
          <w:sz w:val="24"/>
          <w:szCs w:val="24"/>
        </w:rPr>
        <w:t xml:space="preserve">BAŞKAN </w:t>
      </w:r>
      <w:r w:rsidR="009B61A7" w:rsidRPr="00392EF1">
        <w:rPr>
          <w:rFonts w:ascii="Times New Roman" w:hAnsi="Times New Roman" w:cs="Times New Roman"/>
          <w:b/>
          <w:i/>
          <w:sz w:val="24"/>
          <w:szCs w:val="24"/>
        </w:rPr>
        <w:t>SUNUŞ</w:t>
      </w:r>
      <w:r w:rsidRPr="00392EF1">
        <w:rPr>
          <w:rFonts w:ascii="Times New Roman" w:hAnsi="Times New Roman" w:cs="Times New Roman"/>
          <w:b/>
          <w:i/>
          <w:sz w:val="24"/>
          <w:szCs w:val="24"/>
        </w:rPr>
        <w:t>U</w:t>
      </w:r>
    </w:p>
    <w:p w:rsidR="009B61A7" w:rsidRPr="00392EF1" w:rsidRDefault="009B61A7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F7626" w:rsidRPr="00392EF1" w:rsidRDefault="00AF762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2EF1">
        <w:rPr>
          <w:rFonts w:ascii="Times New Roman" w:hAnsi="Times New Roman" w:cs="Times New Roman"/>
          <w:i/>
          <w:sz w:val="24"/>
          <w:szCs w:val="24"/>
        </w:rPr>
        <w:t>5018 sayılı Kamu Mali Yönetimi ve Ko</w:t>
      </w:r>
      <w:r w:rsidR="00904538">
        <w:rPr>
          <w:rFonts w:ascii="Times New Roman" w:hAnsi="Times New Roman" w:cs="Times New Roman"/>
          <w:i/>
          <w:sz w:val="24"/>
          <w:szCs w:val="24"/>
        </w:rPr>
        <w:t>ntrol Kanununun 30. maddesinde; “</w:t>
      </w:r>
      <w:r w:rsidRPr="00392EF1">
        <w:rPr>
          <w:rFonts w:ascii="Times New Roman" w:hAnsi="Times New Roman" w:cs="Times New Roman"/>
          <w:i/>
          <w:sz w:val="24"/>
          <w:szCs w:val="24"/>
        </w:rPr>
        <w:t>Genel yönetim kapsamındaki idareler bütçelerinin ilk altı aylık uygulama sonuçları, ikinci altı aya ilişkin beklentiler ve hedefler ile faaliyetlerini; Cumhurbaşkanlığı ise merkezi yönetim bütçe kanununun ilk altı aylık uygulama sonuçları, finansman durumu, ikinci altı aya ilişkin beklentiler ve hedefler ile faaliyetleri kapsayan mali durumu temmuz</w:t>
      </w:r>
      <w:r w:rsidR="007A3B92">
        <w:rPr>
          <w:rFonts w:ascii="Times New Roman" w:hAnsi="Times New Roman" w:cs="Times New Roman"/>
          <w:i/>
          <w:sz w:val="24"/>
          <w:szCs w:val="24"/>
        </w:rPr>
        <w:t xml:space="preserve"> ayı içinde kamuoyuna açıklar.” </w:t>
      </w:r>
      <w:r w:rsidRPr="00392EF1">
        <w:rPr>
          <w:rFonts w:ascii="Times New Roman" w:hAnsi="Times New Roman" w:cs="Times New Roman"/>
          <w:i/>
          <w:sz w:val="24"/>
          <w:szCs w:val="24"/>
        </w:rPr>
        <w:t>denilmektedir.</w:t>
      </w:r>
      <w:proofErr w:type="gramEnd"/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Söz konusu düzenlemenin amacı, kamu hizmetlerinin yürütülmesinde ve bütçe uygulamalarında saydamlığın ve hesap verilebilirliğin artırılması ile kamuoyunun kamu idareleri üzerindeki genel denetim ve gözetim fonksiyonunun gerçekleştirilmesidir.</w:t>
      </w:r>
      <w:r w:rsidR="00D17000" w:rsidRPr="00392EF1">
        <w:rPr>
          <w:rFonts w:ascii="Times New Roman" w:hAnsi="Times New Roman" w:cs="Times New Roman"/>
          <w:i/>
          <w:sz w:val="24"/>
          <w:szCs w:val="24"/>
        </w:rPr>
        <w:t xml:space="preserve"> Bu amaçlara ulaşılması, idarelerin faaliyetleri ile bütçe gerçekleşmeleri ve beklentileri konularında kapsamlı bir rapor oluşturulmasına bağlıdır.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Bu</w:t>
      </w:r>
      <w:r w:rsidR="001206B2">
        <w:rPr>
          <w:rFonts w:ascii="Times New Roman" w:hAnsi="Times New Roman" w:cs="Times New Roman"/>
          <w:i/>
          <w:sz w:val="24"/>
          <w:szCs w:val="24"/>
        </w:rPr>
        <w:t xml:space="preserve"> çerçevede, Başkanlığımızın 202</w:t>
      </w:r>
      <w:r w:rsidR="009846E1">
        <w:rPr>
          <w:rFonts w:ascii="Times New Roman" w:hAnsi="Times New Roman" w:cs="Times New Roman"/>
          <w:i/>
          <w:sz w:val="24"/>
          <w:szCs w:val="24"/>
        </w:rPr>
        <w:t>1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ilk altı aylık bütçe uygulama sonuçları ve yürütülen faaliyetleri ve ikinci altı aya ilişkin beklenti, hedef ve yürütülecek projelere </w:t>
      </w:r>
      <w:r w:rsidR="00904538">
        <w:rPr>
          <w:rFonts w:ascii="Times New Roman" w:hAnsi="Times New Roman" w:cs="Times New Roman"/>
          <w:i/>
          <w:sz w:val="24"/>
          <w:szCs w:val="24"/>
        </w:rPr>
        <w:t>ait bilgilerin yer aldığı “</w:t>
      </w:r>
      <w:r w:rsidR="001206B2">
        <w:rPr>
          <w:rFonts w:ascii="Times New Roman" w:hAnsi="Times New Roman" w:cs="Times New Roman"/>
          <w:i/>
          <w:sz w:val="24"/>
          <w:szCs w:val="24"/>
        </w:rPr>
        <w:t>202</w:t>
      </w:r>
      <w:r w:rsidR="009846E1">
        <w:rPr>
          <w:rFonts w:ascii="Times New Roman" w:hAnsi="Times New Roman" w:cs="Times New Roman"/>
          <w:i/>
          <w:sz w:val="24"/>
          <w:szCs w:val="24"/>
        </w:rPr>
        <w:t>1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Doğu Karadeniz Projesi Bölge Kalkınma İdaresi Başkanlığı Kurumsal Mali Durum ve Beklentiler Raporu” hazırlanarak kamuoyunun bilgisine sunulmuştur.</w:t>
      </w: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>Hakan GÜLTEKİN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   Başkan</w:t>
      </w:r>
    </w:p>
    <w:p w:rsidR="00D31DE6" w:rsidRDefault="00D31DE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04538" w:rsidRPr="00392EF1" w:rsidRDefault="00904538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57776" w:rsidRPr="00F57194" w:rsidRDefault="001206B2" w:rsidP="007A3B92">
      <w:pPr>
        <w:pStyle w:val="ListeParagraf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57194">
        <w:rPr>
          <w:rFonts w:ascii="Times New Roman" w:hAnsi="Times New Roman" w:cs="Times New Roman"/>
          <w:b/>
          <w:sz w:val="24"/>
          <w:szCs w:val="24"/>
        </w:rPr>
        <w:lastRenderedPageBreak/>
        <w:t>OCAK – HAZİRAN 202</w:t>
      </w:r>
      <w:r w:rsidR="002519B8">
        <w:rPr>
          <w:rFonts w:ascii="Times New Roman" w:hAnsi="Times New Roman" w:cs="Times New Roman"/>
          <w:b/>
          <w:sz w:val="24"/>
          <w:szCs w:val="24"/>
        </w:rPr>
        <w:t>2</w:t>
      </w:r>
      <w:r w:rsidR="003818C4" w:rsidRPr="00F57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76" w:rsidRPr="00F57194">
        <w:rPr>
          <w:rFonts w:ascii="Times New Roman" w:hAnsi="Times New Roman" w:cs="Times New Roman"/>
          <w:b/>
          <w:sz w:val="24"/>
          <w:szCs w:val="24"/>
        </w:rPr>
        <w:t>DÖNEMİ BÜTÇE UYGULAMA SONUÇLARI</w:t>
      </w:r>
    </w:p>
    <w:p w:rsidR="007A3B92" w:rsidRPr="00392EF1" w:rsidRDefault="007A3B92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1DE6" w:rsidRPr="00392EF1" w:rsidRDefault="00D31DE6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2EF1"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D31DE6" w:rsidRDefault="00D31DE6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sz w:val="24"/>
          <w:szCs w:val="24"/>
        </w:rPr>
      </w:pPr>
    </w:p>
    <w:p w:rsidR="00C443BC" w:rsidRDefault="00F57194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2519B8">
        <w:rPr>
          <w:rFonts w:ascii="Times New Roman" w:hAnsi="Times New Roman" w:cs="Times New Roman"/>
          <w:sz w:val="24"/>
          <w:szCs w:val="24"/>
        </w:rPr>
        <w:t>2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başlangıç</w:t>
      </w:r>
      <w:r w:rsidR="00C443BC">
        <w:rPr>
          <w:rFonts w:ascii="Times New Roman" w:hAnsi="Times New Roman" w:cs="Times New Roman"/>
          <w:sz w:val="24"/>
          <w:szCs w:val="24"/>
        </w:rPr>
        <w:t xml:space="preserve"> ödeneği </w:t>
      </w:r>
      <w:r w:rsidR="002519B8">
        <w:rPr>
          <w:rFonts w:ascii="Times New Roman" w:hAnsi="Times New Roman" w:cs="Times New Roman"/>
          <w:sz w:val="24"/>
          <w:szCs w:val="24"/>
        </w:rPr>
        <w:t>109</w:t>
      </w:r>
      <w:r w:rsidR="00C443BC">
        <w:rPr>
          <w:rFonts w:ascii="Times New Roman" w:hAnsi="Times New Roman" w:cs="Times New Roman"/>
          <w:sz w:val="24"/>
          <w:szCs w:val="24"/>
        </w:rPr>
        <w:t>.</w:t>
      </w:r>
      <w:r w:rsidR="002519B8">
        <w:rPr>
          <w:rFonts w:ascii="Times New Roman" w:hAnsi="Times New Roman" w:cs="Times New Roman"/>
          <w:sz w:val="24"/>
          <w:szCs w:val="24"/>
        </w:rPr>
        <w:t>343</w:t>
      </w:r>
      <w:r w:rsidR="00C443BC">
        <w:rPr>
          <w:rFonts w:ascii="Times New Roman" w:hAnsi="Times New Roman" w:cs="Times New Roman"/>
          <w:sz w:val="24"/>
          <w:szCs w:val="24"/>
        </w:rPr>
        <w:t>.000,00 TL olup</w:t>
      </w:r>
      <w:r w:rsidR="009F11DF">
        <w:rPr>
          <w:rFonts w:ascii="Times New Roman" w:hAnsi="Times New Roman" w:cs="Times New Roman"/>
          <w:sz w:val="24"/>
          <w:szCs w:val="24"/>
        </w:rPr>
        <w:t>,</w:t>
      </w:r>
      <w:r w:rsidR="00F57776">
        <w:rPr>
          <w:rFonts w:ascii="Times New Roman" w:hAnsi="Times New Roman" w:cs="Times New Roman"/>
          <w:sz w:val="24"/>
          <w:szCs w:val="24"/>
        </w:rPr>
        <w:t xml:space="preserve"> </w:t>
      </w:r>
      <w:r w:rsidR="002519B8">
        <w:rPr>
          <w:rFonts w:ascii="Times New Roman" w:hAnsi="Times New Roman" w:cs="Times New Roman"/>
          <w:sz w:val="24"/>
          <w:szCs w:val="24"/>
        </w:rPr>
        <w:t>98</w:t>
      </w:r>
      <w:r w:rsidR="005A035B">
        <w:rPr>
          <w:rFonts w:ascii="Times New Roman" w:hAnsi="Times New Roman" w:cs="Times New Roman"/>
          <w:sz w:val="24"/>
          <w:szCs w:val="24"/>
        </w:rPr>
        <w:t>.</w:t>
      </w:r>
      <w:r w:rsidR="002519B8">
        <w:rPr>
          <w:rFonts w:ascii="Times New Roman" w:hAnsi="Times New Roman" w:cs="Times New Roman"/>
          <w:sz w:val="24"/>
          <w:szCs w:val="24"/>
        </w:rPr>
        <w:t>664</w:t>
      </w:r>
      <w:r w:rsidR="002E12A8">
        <w:rPr>
          <w:rFonts w:ascii="Times New Roman" w:hAnsi="Times New Roman" w:cs="Times New Roman"/>
          <w:sz w:val="24"/>
          <w:szCs w:val="24"/>
        </w:rPr>
        <w:t>.000,00 TL’si t</w:t>
      </w:r>
      <w:r w:rsidR="005A035B">
        <w:rPr>
          <w:rFonts w:ascii="Times New Roman" w:hAnsi="Times New Roman" w:cs="Times New Roman"/>
          <w:sz w:val="24"/>
          <w:szCs w:val="24"/>
        </w:rPr>
        <w:t xml:space="preserve">ransfer harcamaları </w:t>
      </w:r>
      <w:r w:rsidR="002519B8">
        <w:rPr>
          <w:rFonts w:ascii="Times New Roman" w:hAnsi="Times New Roman" w:cs="Times New Roman"/>
          <w:sz w:val="24"/>
          <w:szCs w:val="24"/>
        </w:rPr>
        <w:t>10</w:t>
      </w:r>
      <w:r w:rsidR="002E12A8">
        <w:rPr>
          <w:rFonts w:ascii="Times New Roman" w:hAnsi="Times New Roman" w:cs="Times New Roman"/>
          <w:sz w:val="24"/>
          <w:szCs w:val="24"/>
        </w:rPr>
        <w:t>.</w:t>
      </w:r>
      <w:r w:rsidR="002519B8">
        <w:rPr>
          <w:rFonts w:ascii="Times New Roman" w:hAnsi="Times New Roman" w:cs="Times New Roman"/>
          <w:sz w:val="24"/>
          <w:szCs w:val="24"/>
        </w:rPr>
        <w:t>679</w:t>
      </w:r>
      <w:r w:rsidR="002E12A8">
        <w:rPr>
          <w:rFonts w:ascii="Times New Roman" w:hAnsi="Times New Roman" w:cs="Times New Roman"/>
          <w:sz w:val="24"/>
          <w:szCs w:val="24"/>
        </w:rPr>
        <w:t>.000,00 TL’si c</w:t>
      </w:r>
      <w:r w:rsidR="00F57776">
        <w:rPr>
          <w:rFonts w:ascii="Times New Roman" w:hAnsi="Times New Roman" w:cs="Times New Roman"/>
          <w:sz w:val="24"/>
          <w:szCs w:val="24"/>
        </w:rPr>
        <w:t>ari harcamalardan oluşmaktadır.</w:t>
      </w:r>
      <w:r w:rsidR="001206B2">
        <w:rPr>
          <w:rFonts w:ascii="Times New Roman" w:hAnsi="Times New Roman" w:cs="Times New Roman"/>
          <w:sz w:val="24"/>
          <w:szCs w:val="24"/>
        </w:rPr>
        <w:t xml:space="preserve"> 202</w:t>
      </w:r>
      <w:r w:rsidR="002519B8">
        <w:rPr>
          <w:rFonts w:ascii="Times New Roman" w:hAnsi="Times New Roman" w:cs="Times New Roman"/>
          <w:sz w:val="24"/>
          <w:szCs w:val="24"/>
        </w:rPr>
        <w:t>2</w:t>
      </w:r>
      <w:r w:rsidR="009F11DF">
        <w:rPr>
          <w:rFonts w:ascii="Times New Roman" w:hAnsi="Times New Roman" w:cs="Times New Roman"/>
          <w:sz w:val="24"/>
          <w:szCs w:val="24"/>
        </w:rPr>
        <w:t xml:space="preserve"> yılının Ocak-Haziran döneminde </w:t>
      </w:r>
      <w:r w:rsidR="002519B8">
        <w:rPr>
          <w:rFonts w:ascii="Times New Roman" w:hAnsi="Times New Roman" w:cs="Times New Roman"/>
          <w:sz w:val="24"/>
          <w:szCs w:val="24"/>
        </w:rPr>
        <w:t>7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D67B7C">
        <w:rPr>
          <w:rFonts w:ascii="Times New Roman" w:hAnsi="Times New Roman" w:cs="Times New Roman"/>
          <w:sz w:val="24"/>
          <w:szCs w:val="24"/>
        </w:rPr>
        <w:t>809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D67B7C">
        <w:rPr>
          <w:rFonts w:ascii="Times New Roman" w:hAnsi="Times New Roman" w:cs="Times New Roman"/>
          <w:sz w:val="24"/>
          <w:szCs w:val="24"/>
        </w:rPr>
        <w:t>856</w:t>
      </w:r>
      <w:r w:rsidR="001206B2">
        <w:rPr>
          <w:rFonts w:ascii="Times New Roman" w:hAnsi="Times New Roman" w:cs="Times New Roman"/>
          <w:sz w:val="24"/>
          <w:szCs w:val="24"/>
        </w:rPr>
        <w:t>,</w:t>
      </w:r>
      <w:r w:rsidR="002519B8">
        <w:rPr>
          <w:rFonts w:ascii="Times New Roman" w:hAnsi="Times New Roman" w:cs="Times New Roman"/>
          <w:sz w:val="24"/>
          <w:szCs w:val="24"/>
        </w:rPr>
        <w:t>70</w:t>
      </w:r>
      <w:r w:rsidR="009F11DF">
        <w:rPr>
          <w:rFonts w:ascii="Times New Roman" w:hAnsi="Times New Roman" w:cs="Times New Roman"/>
          <w:sz w:val="24"/>
          <w:szCs w:val="24"/>
        </w:rPr>
        <w:t xml:space="preserve"> TL harcanmıştır. Bütçe ödeneklerinin ve harcamaların ilk altı aylık tutarları şöyledir.</w:t>
      </w:r>
    </w:p>
    <w:tbl>
      <w:tblPr>
        <w:tblW w:w="7180" w:type="dxa"/>
        <w:tblInd w:w="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940"/>
        <w:gridCol w:w="1940"/>
      </w:tblGrid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KBÖ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Harcama</w:t>
            </w:r>
            <w:r w:rsidR="00F5719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(Ocak-Haziran)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5.896.000,00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4.174.161,43 TL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Krm</w:t>
            </w:r>
            <w:proofErr w:type="spellEnd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Dev. Prim Öd.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986.000,00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674.814,20 TL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3.535.000,00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Default="002519B8" w:rsidP="00D67B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="00D67B7C">
              <w:rPr>
                <w:b/>
                <w:bCs/>
                <w:color w:val="000000"/>
                <w:sz w:val="22"/>
                <w:szCs w:val="22"/>
              </w:rPr>
              <w:t>785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67B7C">
              <w:rPr>
                <w:b/>
                <w:bCs/>
                <w:color w:val="000000"/>
                <w:sz w:val="22"/>
                <w:szCs w:val="22"/>
              </w:rPr>
              <w:t>384</w:t>
            </w:r>
            <w:r>
              <w:rPr>
                <w:b/>
                <w:bCs/>
                <w:color w:val="000000"/>
                <w:sz w:val="22"/>
                <w:szCs w:val="22"/>
              </w:rPr>
              <w:t>,25 TL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262.000,00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108.774,00 TL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 TL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98.664.000,00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66.682,82 TL</w:t>
            </w:r>
          </w:p>
        </w:tc>
      </w:tr>
      <w:tr w:rsidR="002519B8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4B1975" w:rsidRDefault="002519B8" w:rsidP="002519B8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Default="002519B8" w:rsidP="002519B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109.343.000,00 TL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Default="002519B8" w:rsidP="00D67B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D67B7C">
              <w:rPr>
                <w:b/>
                <w:bCs/>
                <w:color w:val="000000"/>
                <w:sz w:val="22"/>
                <w:szCs w:val="22"/>
              </w:rPr>
              <w:t>.809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D67B7C">
              <w:rPr>
                <w:b/>
                <w:bCs/>
                <w:color w:val="000000"/>
                <w:sz w:val="22"/>
                <w:szCs w:val="22"/>
              </w:rPr>
              <w:t>856</w:t>
            </w:r>
            <w:r>
              <w:rPr>
                <w:b/>
                <w:bCs/>
                <w:color w:val="000000"/>
                <w:sz w:val="22"/>
                <w:szCs w:val="22"/>
              </w:rPr>
              <w:t>,70 TL</w:t>
            </w:r>
          </w:p>
        </w:tc>
      </w:tr>
    </w:tbl>
    <w:p w:rsidR="002E12A8" w:rsidRDefault="002E12A8" w:rsidP="00F571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4DD3">
        <w:rPr>
          <w:rFonts w:ascii="Times New Roman" w:hAnsi="Times New Roman" w:cs="Times New Roman"/>
          <w:sz w:val="24"/>
          <w:szCs w:val="24"/>
        </w:rPr>
        <w:t>Kurumumuz</w:t>
      </w:r>
      <w:r>
        <w:rPr>
          <w:rFonts w:ascii="Times New Roman" w:hAnsi="Times New Roman" w:cs="Times New Roman"/>
          <w:sz w:val="24"/>
          <w:szCs w:val="24"/>
        </w:rPr>
        <w:t xml:space="preserve"> bir önceki yılı başlangıç ödeneği </w:t>
      </w:r>
      <w:r w:rsidR="00EC7726">
        <w:rPr>
          <w:rFonts w:ascii="Times New Roman" w:hAnsi="Times New Roman" w:cs="Times New Roman"/>
          <w:sz w:val="24"/>
          <w:szCs w:val="24"/>
        </w:rPr>
        <w:t>95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EC7726"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 w:cs="Times New Roman"/>
          <w:sz w:val="24"/>
          <w:szCs w:val="24"/>
        </w:rPr>
        <w:t xml:space="preserve">.000,00 TL olup, </w:t>
      </w:r>
      <w:r w:rsidR="00EC7726">
        <w:rPr>
          <w:rFonts w:ascii="Times New Roman" w:hAnsi="Times New Roman" w:cs="Times New Roman"/>
          <w:sz w:val="24"/>
          <w:szCs w:val="24"/>
        </w:rPr>
        <w:t>87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EC7726">
        <w:rPr>
          <w:rFonts w:ascii="Times New Roman" w:hAnsi="Times New Roman" w:cs="Times New Roman"/>
          <w:sz w:val="24"/>
          <w:szCs w:val="24"/>
        </w:rPr>
        <w:t>563</w:t>
      </w:r>
      <w:r w:rsidR="001206B2">
        <w:rPr>
          <w:rFonts w:ascii="Times New Roman" w:hAnsi="Times New Roman" w:cs="Times New Roman"/>
          <w:sz w:val="24"/>
          <w:szCs w:val="24"/>
        </w:rPr>
        <w:t>.000,</w:t>
      </w:r>
      <w:r>
        <w:rPr>
          <w:rFonts w:ascii="Times New Roman" w:hAnsi="Times New Roman" w:cs="Times New Roman"/>
          <w:sz w:val="24"/>
          <w:szCs w:val="24"/>
        </w:rPr>
        <w:t xml:space="preserve">00 TL’si transfer harcamaları </w:t>
      </w:r>
      <w:r w:rsidR="00EC772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7726">
        <w:rPr>
          <w:rFonts w:ascii="Times New Roman" w:hAnsi="Times New Roman" w:cs="Times New Roman"/>
          <w:sz w:val="24"/>
          <w:szCs w:val="24"/>
        </w:rPr>
        <w:t>943</w:t>
      </w:r>
      <w:r>
        <w:rPr>
          <w:rFonts w:ascii="Times New Roman" w:hAnsi="Times New Roman" w:cs="Times New Roman"/>
          <w:sz w:val="24"/>
          <w:szCs w:val="24"/>
        </w:rPr>
        <w:t xml:space="preserve">.000,00 TL’si cari harcamalardan oluşmaktaydı. İlk altı aylık döneme bakılacak olursa harcama tutarı </w:t>
      </w:r>
      <w:r w:rsidR="00EC7726">
        <w:rPr>
          <w:rFonts w:ascii="Times New Roman" w:hAnsi="Times New Roman" w:cs="Times New Roman"/>
          <w:sz w:val="24"/>
          <w:szCs w:val="24"/>
        </w:rPr>
        <w:t>9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EC7726">
        <w:rPr>
          <w:rFonts w:ascii="Times New Roman" w:hAnsi="Times New Roman" w:cs="Times New Roman"/>
          <w:sz w:val="24"/>
          <w:szCs w:val="24"/>
        </w:rPr>
        <w:t>572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EC7726">
        <w:rPr>
          <w:rFonts w:ascii="Times New Roman" w:hAnsi="Times New Roman" w:cs="Times New Roman"/>
          <w:sz w:val="24"/>
          <w:szCs w:val="24"/>
        </w:rPr>
        <w:t>866</w:t>
      </w:r>
      <w:r w:rsidR="001206B2">
        <w:rPr>
          <w:rFonts w:ascii="Times New Roman" w:hAnsi="Times New Roman" w:cs="Times New Roman"/>
          <w:sz w:val="24"/>
          <w:szCs w:val="24"/>
        </w:rPr>
        <w:t>,</w:t>
      </w:r>
      <w:r w:rsidR="00EC7726">
        <w:rPr>
          <w:rFonts w:ascii="Times New Roman" w:hAnsi="Times New Roman" w:cs="Times New Roman"/>
          <w:sz w:val="24"/>
          <w:szCs w:val="24"/>
        </w:rPr>
        <w:t>2</w:t>
      </w:r>
      <w:r w:rsidR="001206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TL idi.</w:t>
      </w:r>
      <w:r w:rsidR="00F5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Yıllar </w:t>
      </w:r>
      <w:r w:rsidR="00DC6AE2" w:rsidRPr="001D3738">
        <w:rPr>
          <w:rFonts w:ascii="Times New Roman" w:hAnsi="Times New Roman" w:cs="Times New Roman"/>
          <w:sz w:val="24"/>
          <w:szCs w:val="24"/>
        </w:rPr>
        <w:t>itibarıyla</w:t>
      </w:r>
      <w:r w:rsidR="00DC6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karşı</w:t>
      </w:r>
      <w:r w:rsidR="00904538">
        <w:rPr>
          <w:rFonts w:ascii="Times New Roman" w:hAnsi="Times New Roman" w:cs="Times New Roman"/>
          <w:sz w:val="24"/>
          <w:szCs w:val="24"/>
        </w:rPr>
        <w:t>laştırma aşağıda belirtilmiştir.</w:t>
      </w: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800"/>
        <w:gridCol w:w="1860"/>
        <w:gridCol w:w="1420"/>
      </w:tblGrid>
      <w:tr w:rsidR="007E58D5" w:rsidRPr="007E58D5" w:rsidTr="007E58D5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7E58D5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Bütçe Tertipleri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DC1B0D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202</w:t>
            </w:r>
            <w:r w:rsidR="002519B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1</w:t>
            </w:r>
            <w:r w:rsidR="007E58D5"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Harcama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1206B2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DC1B0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02</w:t>
            </w:r>
            <w:r w:rsidR="002519B8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7E58D5"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Harcama 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7E58D5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Artış oranı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2519B8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2.714.876,72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4.174.161,43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EC7726" w:rsidP="00EC772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54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Sosyal </w:t>
            </w:r>
            <w:proofErr w:type="spellStart"/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Güv</w:t>
            </w:r>
            <w:proofErr w:type="spellEnd"/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 Kur. Dev. Prim Öd.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519B8" w:rsidRPr="001206B2" w:rsidRDefault="00A619D4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451</w:t>
            </w:r>
            <w:r w:rsidR="002519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.652,96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519B8" w:rsidRPr="001206B2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674.814,20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519B8" w:rsidRPr="007E58D5" w:rsidRDefault="00852D09" w:rsidP="00EC772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49,00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2519B8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2.308.454,62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EC7726" w:rsidP="002D412A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="002D41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785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2D41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384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,25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EC7726" w:rsidP="002D412A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2D41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00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Cari Transferler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519B8" w:rsidRPr="001206B2" w:rsidRDefault="002519B8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337.437,00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519B8" w:rsidRPr="001206B2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108.774,00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519B8" w:rsidRPr="007E58D5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-68,00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2519B8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650.475,00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0,00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519B8" w:rsidRPr="001D3738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3.109.969,91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2519B8" w:rsidRPr="001206B2" w:rsidRDefault="00EC7726" w:rsidP="00EC772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66.682,82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2519B8" w:rsidRPr="007E58D5" w:rsidRDefault="00EC7726" w:rsidP="00EC7726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-98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,00%</w:t>
            </w:r>
          </w:p>
        </w:tc>
      </w:tr>
      <w:tr w:rsidR="002519B8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2519B8" w:rsidP="002519B8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D3738" w:rsidRDefault="00EC7726" w:rsidP="002519B8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9.572.866,21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2519B8" w:rsidRPr="001206B2" w:rsidRDefault="00EC7726" w:rsidP="00D67B7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  <w:r w:rsidR="00D67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D67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856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,70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2519B8" w:rsidRPr="007E58D5" w:rsidRDefault="00EC7726" w:rsidP="00D67B7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-2</w:t>
            </w:r>
            <w:r w:rsidR="00D67B7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,00</w:t>
            </w:r>
            <w:r w:rsidR="002519B8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</w:tbl>
    <w:p w:rsidR="00EC7726" w:rsidRDefault="00EC7726" w:rsidP="00EC7726">
      <w:pPr>
        <w:spacing w:line="360" w:lineRule="auto"/>
        <w:ind w:firstLine="708"/>
        <w:rPr>
          <w:noProof/>
          <w:lang w:eastAsia="tr-TR"/>
        </w:rPr>
      </w:pPr>
    </w:p>
    <w:p w:rsidR="00D31DE6" w:rsidRPr="00392EF1" w:rsidRDefault="00D31DE6" w:rsidP="00EC77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92EF1">
        <w:rPr>
          <w:rFonts w:ascii="Times New Roman" w:hAnsi="Times New Roman" w:cs="Times New Roman"/>
          <w:b/>
          <w:sz w:val="24"/>
          <w:szCs w:val="24"/>
        </w:rPr>
        <w:lastRenderedPageBreak/>
        <w:t>Personel Giderleri</w:t>
      </w:r>
    </w:p>
    <w:p w:rsidR="00155154" w:rsidRDefault="00484DD3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Ocak-Haziran dönemi personel giderleri toplamı </w:t>
      </w:r>
      <w:r w:rsidR="00A619D4">
        <w:rPr>
          <w:rFonts w:ascii="Times New Roman" w:hAnsi="Times New Roman" w:cs="Times New Roman"/>
          <w:sz w:val="24"/>
          <w:szCs w:val="24"/>
        </w:rPr>
        <w:t>4.164.161,43</w:t>
      </w:r>
      <w:r w:rsidR="005D020E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>TL olup, 20</w:t>
      </w:r>
      <w:r w:rsidR="005D020E">
        <w:rPr>
          <w:rFonts w:ascii="Times New Roman" w:hAnsi="Times New Roman" w:cs="Times New Roman"/>
          <w:sz w:val="24"/>
          <w:szCs w:val="24"/>
        </w:rPr>
        <w:t>2</w:t>
      </w:r>
      <w:r w:rsidR="0043054C">
        <w:rPr>
          <w:rFonts w:ascii="Times New Roman" w:hAnsi="Times New Roman" w:cs="Times New Roman"/>
          <w:sz w:val="24"/>
          <w:szCs w:val="24"/>
        </w:rPr>
        <w:t>1</w:t>
      </w:r>
      <w:r w:rsidR="001D3738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yılının aynı döneminde </w:t>
      </w:r>
      <w:r w:rsidR="00A619D4">
        <w:rPr>
          <w:rFonts w:ascii="Times New Roman" w:hAnsi="Times New Roman" w:cs="Times New Roman"/>
          <w:sz w:val="24"/>
          <w:szCs w:val="24"/>
        </w:rPr>
        <w:t>2.714.876,72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 gerçekleşmiştir. Perso</w:t>
      </w:r>
      <w:r w:rsidR="00392EF1" w:rsidRPr="00392EF1">
        <w:rPr>
          <w:rFonts w:ascii="Times New Roman" w:hAnsi="Times New Roman" w:cs="Times New Roman"/>
          <w:sz w:val="24"/>
          <w:szCs w:val="24"/>
        </w:rPr>
        <w:t>nel giderlerinin artış oranı %</w:t>
      </w:r>
      <w:r>
        <w:rPr>
          <w:rFonts w:ascii="Times New Roman" w:hAnsi="Times New Roman" w:cs="Times New Roman"/>
          <w:sz w:val="24"/>
          <w:szCs w:val="24"/>
        </w:rPr>
        <w:t>54</w:t>
      </w:r>
      <w:r w:rsidR="00E9125B">
        <w:rPr>
          <w:rFonts w:ascii="Times New Roman" w:hAnsi="Times New Roman" w:cs="Times New Roman"/>
          <w:sz w:val="24"/>
          <w:szCs w:val="24"/>
        </w:rPr>
        <w:t>’d</w:t>
      </w:r>
      <w:r w:rsidR="0043054C">
        <w:rPr>
          <w:rFonts w:ascii="Times New Roman" w:hAnsi="Times New Roman" w:cs="Times New Roman"/>
          <w:sz w:val="24"/>
          <w:szCs w:val="24"/>
        </w:rPr>
        <w:t>u</w:t>
      </w:r>
      <w:r w:rsidR="00E9125B">
        <w:rPr>
          <w:rFonts w:ascii="Times New Roman" w:hAnsi="Times New Roman" w:cs="Times New Roman"/>
          <w:sz w:val="24"/>
          <w:szCs w:val="24"/>
        </w:rPr>
        <w:t>r.</w:t>
      </w:r>
    </w:p>
    <w:p w:rsidR="00155154" w:rsidRDefault="00155154" w:rsidP="007A3B92">
      <w:pPr>
        <w:spacing w:line="360" w:lineRule="auto"/>
        <w:ind w:firstLine="708"/>
        <w:rPr>
          <w:rFonts w:ascii="Times New Roman" w:hAnsi="Times New Roman"/>
          <w:color w:val="00B050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Personel Giderlerinin 20</w:t>
      </w:r>
      <w:r w:rsidR="00484DD3">
        <w:rPr>
          <w:rFonts w:ascii="Times New Roman" w:hAnsi="Times New Roman" w:cs="Times New Roman"/>
          <w:sz w:val="24"/>
          <w:szCs w:val="24"/>
        </w:rPr>
        <w:t>21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484DD3">
        <w:rPr>
          <w:rFonts w:ascii="Times New Roman" w:hAnsi="Times New Roman" w:cs="Times New Roman"/>
          <w:sz w:val="24"/>
          <w:szCs w:val="24"/>
        </w:rPr>
        <w:t>22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</w:t>
      </w:r>
      <w:r w:rsidR="006B7D1E" w:rsidRPr="006905A0">
        <w:rPr>
          <w:rFonts w:ascii="Times New Roman" w:hAnsi="Times New Roman" w:cs="Times New Roman"/>
          <w:sz w:val="24"/>
          <w:szCs w:val="24"/>
        </w:rPr>
        <w:t>dönemi aylık gerçekleşmeleri gösterilmiştir</w:t>
      </w:r>
      <w:r w:rsidR="006B7D1E" w:rsidRPr="006B7D1E">
        <w:rPr>
          <w:rFonts w:ascii="Times New Roman" w:hAnsi="Times New Roman"/>
          <w:color w:val="00B050"/>
          <w:sz w:val="24"/>
          <w:szCs w:val="24"/>
        </w:rPr>
        <w:t>.</w:t>
      </w:r>
      <w:r w:rsidR="006B7D1E" w:rsidRPr="00155154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55154" w:rsidRDefault="00484DD3" w:rsidP="007A3B92">
      <w:pPr>
        <w:spacing w:line="36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5540F30" wp14:editId="6473F98A">
            <wp:extent cx="5486400" cy="2828925"/>
            <wp:effectExtent l="0" t="0" r="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</w:p>
    <w:p w:rsidR="007D4588" w:rsidRPr="00465795" w:rsidRDefault="007D4588" w:rsidP="007A3B92">
      <w:pPr>
        <w:pStyle w:val="ListeParagraf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5795">
        <w:rPr>
          <w:rFonts w:ascii="Times New Roman" w:hAnsi="Times New Roman" w:cs="Times New Roman"/>
          <w:b/>
          <w:sz w:val="24"/>
          <w:szCs w:val="24"/>
        </w:rPr>
        <w:t>Sosyal Güvenlik Kurumlarına Devlet Primi Giderleri</w:t>
      </w:r>
    </w:p>
    <w:p w:rsidR="007D4588" w:rsidRDefault="007D458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3054C">
        <w:rPr>
          <w:rFonts w:ascii="Times New Roman" w:hAnsi="Times New Roman" w:cs="Times New Roman"/>
          <w:sz w:val="24"/>
          <w:szCs w:val="24"/>
        </w:rPr>
        <w:t>2</w:t>
      </w:r>
      <w:r w:rsidR="00484DD3">
        <w:rPr>
          <w:rFonts w:ascii="Times New Roman" w:hAnsi="Times New Roman" w:cs="Times New Roman"/>
          <w:sz w:val="24"/>
          <w:szCs w:val="24"/>
        </w:rPr>
        <w:t>2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>
        <w:rPr>
          <w:rFonts w:ascii="Times New Roman" w:hAnsi="Times New Roman" w:cs="Times New Roman"/>
          <w:sz w:val="24"/>
          <w:szCs w:val="24"/>
        </w:rPr>
        <w:t>sosyal güvenlik kurumlarına devlet primi giderleri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toplamı </w:t>
      </w:r>
      <w:r w:rsidR="00A619D4">
        <w:rPr>
          <w:rFonts w:ascii="Times New Roman" w:hAnsi="Times New Roman" w:cs="Times New Roman"/>
          <w:sz w:val="24"/>
          <w:szCs w:val="24"/>
        </w:rPr>
        <w:t>674.814,20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olup, 20</w:t>
      </w:r>
      <w:r w:rsidR="00A619D4">
        <w:rPr>
          <w:rFonts w:ascii="Times New Roman" w:hAnsi="Times New Roman" w:cs="Times New Roman"/>
          <w:sz w:val="24"/>
          <w:szCs w:val="24"/>
        </w:rPr>
        <w:t>21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A619D4">
        <w:rPr>
          <w:rFonts w:ascii="Times New Roman" w:hAnsi="Times New Roman" w:cs="Times New Roman"/>
          <w:sz w:val="24"/>
          <w:szCs w:val="24"/>
        </w:rPr>
        <w:t>451.652,96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gerçekleşmiştir.</w:t>
      </w:r>
      <w:r>
        <w:rPr>
          <w:rFonts w:ascii="Times New Roman" w:hAnsi="Times New Roman" w:cs="Times New Roman"/>
          <w:sz w:val="24"/>
          <w:szCs w:val="24"/>
        </w:rPr>
        <w:t xml:space="preserve"> Sosyal güvenlik kurumlarına devlet primi giderlerindeki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artış oranı %</w:t>
      </w:r>
      <w:r w:rsidR="00852D09">
        <w:rPr>
          <w:rFonts w:ascii="Times New Roman" w:hAnsi="Times New Roman" w:cs="Times New Roman"/>
          <w:sz w:val="24"/>
          <w:szCs w:val="24"/>
        </w:rPr>
        <w:t>49</w:t>
      </w:r>
      <w:r w:rsidRPr="00392EF1">
        <w:rPr>
          <w:rFonts w:ascii="Times New Roman" w:hAnsi="Times New Roman" w:cs="Times New Roman"/>
          <w:sz w:val="24"/>
          <w:szCs w:val="24"/>
        </w:rPr>
        <w:t xml:space="preserve">’dir. </w:t>
      </w:r>
    </w:p>
    <w:p w:rsidR="00E9125B" w:rsidRDefault="00E9125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Sosyal Güvenlik Kurumların</w:t>
      </w:r>
      <w:r w:rsidR="00B25C22">
        <w:rPr>
          <w:rFonts w:ascii="Times New Roman" w:hAnsi="Times New Roman" w:cs="Times New Roman"/>
          <w:sz w:val="24"/>
          <w:szCs w:val="24"/>
        </w:rPr>
        <w:t>a Devlet Primi Giderlerinin 20</w:t>
      </w:r>
      <w:r w:rsidR="00852D09">
        <w:rPr>
          <w:rFonts w:ascii="Times New Roman" w:hAnsi="Times New Roman" w:cs="Times New Roman"/>
          <w:sz w:val="24"/>
          <w:szCs w:val="24"/>
        </w:rPr>
        <w:t>21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852D09">
        <w:rPr>
          <w:rFonts w:ascii="Times New Roman" w:hAnsi="Times New Roman" w:cs="Times New Roman"/>
          <w:sz w:val="24"/>
          <w:szCs w:val="24"/>
        </w:rPr>
        <w:t>2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4E9C" w:rsidRDefault="00852D09" w:rsidP="007A3B92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5B3C572" wp14:editId="4FACBF47">
            <wp:extent cx="5211489" cy="3181350"/>
            <wp:effectExtent l="0" t="0" r="8255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6E0" w:rsidRDefault="008026E0" w:rsidP="007A3B92">
      <w:pPr>
        <w:pStyle w:val="ListeParagraf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 ve Hizmet Alım Giderleri</w:t>
      </w:r>
    </w:p>
    <w:p w:rsidR="007A3B92" w:rsidRDefault="00852D09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 xml:space="preserve">mal ve hizmet alım </w:t>
      </w:r>
      <w:r w:rsidR="008026E0">
        <w:rPr>
          <w:rFonts w:ascii="Times New Roman" w:hAnsi="Times New Roman" w:cs="Times New Roman"/>
          <w:sz w:val="24"/>
          <w:szCs w:val="24"/>
        </w:rPr>
        <w:t>giderleri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>
        <w:rPr>
          <w:rFonts w:ascii="Times New Roman" w:hAnsi="Times New Roman" w:cs="Times New Roman"/>
          <w:sz w:val="24"/>
          <w:szCs w:val="24"/>
        </w:rPr>
        <w:t xml:space="preserve">toplamı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4A26BD">
        <w:rPr>
          <w:rFonts w:ascii="Times New Roman" w:hAnsi="Times New Roman" w:cs="Times New Roman"/>
          <w:sz w:val="24"/>
          <w:szCs w:val="24"/>
        </w:rPr>
        <w:t>785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26BD">
        <w:rPr>
          <w:rFonts w:ascii="Times New Roman" w:hAnsi="Times New Roman" w:cs="Times New Roman"/>
          <w:sz w:val="24"/>
          <w:szCs w:val="24"/>
        </w:rPr>
        <w:t>374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6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TL olup, 2021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2.308.454,62</w:t>
      </w:r>
      <w:r w:rsidR="008026E0" w:rsidRPr="00593BA6">
        <w:rPr>
          <w:rFonts w:ascii="Times New Roman" w:hAnsi="Times New Roman" w:cs="Times New Roman"/>
          <w:sz w:val="24"/>
          <w:szCs w:val="24"/>
        </w:rPr>
        <w:t xml:space="preserve"> TL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olarak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>Mal</w:t>
      </w:r>
      <w:r w:rsidR="00B25C22">
        <w:rPr>
          <w:rFonts w:ascii="Times New Roman" w:hAnsi="Times New Roman" w:cs="Times New Roman"/>
          <w:sz w:val="24"/>
          <w:szCs w:val="24"/>
        </w:rPr>
        <w:t xml:space="preserve"> ve hizmet alım giderlerinde %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26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6BD">
        <w:rPr>
          <w:rFonts w:ascii="Times New Roman" w:hAnsi="Times New Roman" w:cs="Times New Roman"/>
          <w:sz w:val="24"/>
          <w:szCs w:val="24"/>
        </w:rPr>
        <w:t>artış</w:t>
      </w:r>
      <w:r w:rsidR="005520EB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F922B7" w:rsidRDefault="00D37BDB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 xml:space="preserve">Aşağıdaki tabloda Mal </w:t>
      </w:r>
      <w:r w:rsidR="00B25C22">
        <w:rPr>
          <w:rFonts w:ascii="Times New Roman" w:hAnsi="Times New Roman" w:cs="Times New Roman"/>
          <w:sz w:val="24"/>
          <w:szCs w:val="24"/>
        </w:rPr>
        <w:t>ve Hizmet Alım Giderlerinin 20</w:t>
      </w:r>
      <w:r w:rsidR="00852D09">
        <w:rPr>
          <w:rFonts w:ascii="Times New Roman" w:hAnsi="Times New Roman" w:cs="Times New Roman"/>
          <w:sz w:val="24"/>
          <w:szCs w:val="24"/>
        </w:rPr>
        <w:t>21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852D09">
        <w:rPr>
          <w:rFonts w:ascii="Times New Roman" w:hAnsi="Times New Roman" w:cs="Times New Roman"/>
          <w:sz w:val="24"/>
          <w:szCs w:val="24"/>
        </w:rPr>
        <w:t>22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</w:t>
      </w:r>
    </w:p>
    <w:p w:rsidR="005520EB" w:rsidRDefault="004A26BD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13177E2" wp14:editId="0CFA916E">
            <wp:extent cx="5489356" cy="3228975"/>
            <wp:effectExtent l="0" t="0" r="16510" b="952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45F3" w:rsidRPr="00D37BDB" w:rsidRDefault="00AE45F3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0EB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Cari Transferler</w:t>
      </w:r>
    </w:p>
    <w:p w:rsidR="00702133" w:rsidRDefault="0076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>cari transferler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 xml:space="preserve">toplamı </w:t>
      </w:r>
      <w:r>
        <w:rPr>
          <w:rFonts w:ascii="Times New Roman" w:hAnsi="Times New Roman" w:cs="Times New Roman"/>
          <w:sz w:val="24"/>
          <w:szCs w:val="24"/>
        </w:rPr>
        <w:t>108.774</w:t>
      </w:r>
      <w:r w:rsidR="0046579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TL olup, 2021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>
        <w:rPr>
          <w:rFonts w:ascii="Times New Roman" w:hAnsi="Times New Roman" w:cs="Times New Roman"/>
          <w:sz w:val="24"/>
          <w:szCs w:val="24"/>
        </w:rPr>
        <w:t>337.437,00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552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0B" w:rsidRDefault="0035470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Cari Transferlerin 20</w:t>
      </w:r>
      <w:r w:rsidR="007653EC">
        <w:rPr>
          <w:rFonts w:ascii="Times New Roman" w:hAnsi="Times New Roman" w:cs="Times New Roman"/>
          <w:sz w:val="24"/>
          <w:szCs w:val="24"/>
        </w:rPr>
        <w:t>21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7653EC">
        <w:rPr>
          <w:rFonts w:ascii="Times New Roman" w:hAnsi="Times New Roman" w:cs="Times New Roman"/>
          <w:sz w:val="24"/>
          <w:szCs w:val="24"/>
        </w:rPr>
        <w:t>22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8526B9" w:rsidRDefault="004C6C19" w:rsidP="00702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5195967D" wp14:editId="619459F6">
            <wp:extent cx="5358304" cy="3447721"/>
            <wp:effectExtent l="0" t="0" r="13970" b="635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26B9" w:rsidRPr="00AE45F3" w:rsidRDefault="008526B9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E63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Giderleri</w:t>
      </w:r>
    </w:p>
    <w:p w:rsidR="00DE3E63" w:rsidRPr="004C6C19" w:rsidRDefault="004C6C19" w:rsidP="004C6C19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312C78">
        <w:rPr>
          <w:rFonts w:ascii="Times New Roman" w:hAnsi="Times New Roman" w:cs="Times New Roman"/>
          <w:sz w:val="24"/>
          <w:szCs w:val="24"/>
        </w:rPr>
        <w:t>sermaye giderleri kaleminden herhangi bir harcama yapılmamış olup</w:t>
      </w:r>
      <w:r w:rsidR="005520EB" w:rsidRPr="006905A0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650.475,00</w:t>
      </w:r>
      <w:r w:rsidRPr="00593B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5520EB" w:rsidRPr="00593BA6">
        <w:rPr>
          <w:rFonts w:ascii="Times New Roman" w:hAnsi="Times New Roman" w:cs="Times New Roman"/>
          <w:sz w:val="24"/>
          <w:szCs w:val="24"/>
        </w:rPr>
        <w:t>TL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olarak</w:t>
      </w:r>
      <w:r w:rsidR="00227C41" w:rsidRPr="006905A0">
        <w:rPr>
          <w:rFonts w:ascii="Times New Roman" w:hAnsi="Times New Roman" w:cs="Times New Roman"/>
          <w:sz w:val="24"/>
          <w:szCs w:val="24"/>
        </w:rPr>
        <w:t xml:space="preserve"> </w:t>
      </w:r>
      <w:r w:rsidR="00702133">
        <w:rPr>
          <w:rFonts w:ascii="Times New Roman" w:hAnsi="Times New Roman" w:cs="Times New Roman"/>
          <w:sz w:val="24"/>
          <w:szCs w:val="24"/>
        </w:rPr>
        <w:t>gerçekleşmiştir.</w:t>
      </w:r>
    </w:p>
    <w:p w:rsidR="004C6C19" w:rsidRDefault="004C6C19" w:rsidP="004C6C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0B19" w:rsidRDefault="00000B19" w:rsidP="004C6C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</w:t>
      </w:r>
      <w:r w:rsidR="00B25C22">
        <w:rPr>
          <w:rFonts w:ascii="Times New Roman" w:hAnsi="Times New Roman" w:cs="Times New Roman"/>
          <w:sz w:val="24"/>
          <w:szCs w:val="24"/>
        </w:rPr>
        <w:t>abloda Sermaye Giderlerinin 20</w:t>
      </w:r>
      <w:r w:rsidR="00702133">
        <w:rPr>
          <w:rFonts w:ascii="Times New Roman" w:hAnsi="Times New Roman" w:cs="Times New Roman"/>
          <w:sz w:val="24"/>
          <w:szCs w:val="24"/>
        </w:rPr>
        <w:t>21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702133">
        <w:rPr>
          <w:rFonts w:ascii="Times New Roman" w:hAnsi="Times New Roman" w:cs="Times New Roman"/>
          <w:sz w:val="24"/>
          <w:szCs w:val="24"/>
        </w:rPr>
        <w:t>2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5520EB" w:rsidRDefault="004C6C19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9A2B4C1" wp14:editId="5C11B66B">
            <wp:extent cx="5200650" cy="26289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6C95" w:rsidRPr="00DA23B8" w:rsidRDefault="00C16C95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Transferleri</w:t>
      </w:r>
    </w:p>
    <w:p w:rsidR="00BB238F" w:rsidRDefault="00C16C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C6C19">
        <w:rPr>
          <w:rFonts w:ascii="Times New Roman" w:hAnsi="Times New Roman" w:cs="Times New Roman"/>
          <w:sz w:val="24"/>
          <w:szCs w:val="24"/>
        </w:rPr>
        <w:t>22</w:t>
      </w:r>
      <w:r w:rsidR="00465795">
        <w:rPr>
          <w:rFonts w:ascii="Times New Roman" w:hAnsi="Times New Roman" w:cs="Times New Roman"/>
          <w:sz w:val="24"/>
          <w:szCs w:val="24"/>
        </w:rPr>
        <w:t xml:space="preserve"> yılı Ocak-Haziran döneminde sermaye trans</w:t>
      </w:r>
      <w:r w:rsidR="004C6C19">
        <w:rPr>
          <w:rFonts w:ascii="Times New Roman" w:hAnsi="Times New Roman" w:cs="Times New Roman"/>
          <w:sz w:val="24"/>
          <w:szCs w:val="24"/>
        </w:rPr>
        <w:t xml:space="preserve">ferleri tertibinden </w:t>
      </w:r>
      <w:r w:rsidR="004C6C19" w:rsidRPr="00713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66.682,82</w:t>
      </w:r>
      <w:r w:rsidR="004C6C19" w:rsidRPr="0071395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65795" w:rsidRPr="00713953">
        <w:rPr>
          <w:rFonts w:ascii="Times New Roman" w:hAnsi="Times New Roman" w:cs="Times New Roman"/>
          <w:sz w:val="24"/>
          <w:szCs w:val="24"/>
        </w:rPr>
        <w:t>TL</w:t>
      </w:r>
      <w:r w:rsidR="00465795">
        <w:rPr>
          <w:rFonts w:ascii="Times New Roman" w:hAnsi="Times New Roman" w:cs="Times New Roman"/>
          <w:sz w:val="24"/>
          <w:szCs w:val="24"/>
        </w:rPr>
        <w:t xml:space="preserve"> harcanmış,</w:t>
      </w:r>
      <w:r w:rsidR="004C6C19">
        <w:rPr>
          <w:rFonts w:ascii="Times New Roman" w:hAnsi="Times New Roman" w:cs="Times New Roman"/>
          <w:sz w:val="24"/>
          <w:szCs w:val="24"/>
        </w:rPr>
        <w:t xml:space="preserve"> 2021</w:t>
      </w:r>
      <w:r w:rsidR="00B25C22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yıl</w:t>
      </w:r>
      <w:r w:rsidR="00465795">
        <w:rPr>
          <w:rFonts w:ascii="Times New Roman" w:hAnsi="Times New Roman" w:cs="Times New Roman"/>
          <w:sz w:val="24"/>
          <w:szCs w:val="24"/>
        </w:rPr>
        <w:t>ının aynı döneminde</w:t>
      </w:r>
      <w:r w:rsidR="004C6C19">
        <w:rPr>
          <w:rFonts w:ascii="Times New Roman" w:hAnsi="Times New Roman" w:cs="Times New Roman"/>
          <w:sz w:val="24"/>
          <w:szCs w:val="24"/>
        </w:rPr>
        <w:t xml:space="preserve"> </w:t>
      </w:r>
      <w:r w:rsidR="004C6C19"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3.109.969,91</w:t>
      </w:r>
      <w:r w:rsidR="004C6C19" w:rsidRPr="00593BA6">
        <w:rPr>
          <w:rFonts w:ascii="Times New Roman" w:hAnsi="Times New Roman" w:cs="Times New Roman"/>
          <w:sz w:val="24"/>
          <w:szCs w:val="24"/>
        </w:rPr>
        <w:t xml:space="preserve"> TL</w:t>
      </w:r>
      <w:r w:rsidR="004C6C19">
        <w:rPr>
          <w:rFonts w:ascii="Times New Roman" w:hAnsi="Times New Roman" w:cs="Times New Roman"/>
          <w:sz w:val="24"/>
          <w:szCs w:val="24"/>
        </w:rPr>
        <w:t xml:space="preserve"> olarak gerçekleşmiştir.</w:t>
      </w:r>
      <w:r w:rsidR="00F92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95" w:rsidRPr="003818C4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tabl</w:t>
      </w:r>
      <w:r w:rsidR="00F922B7">
        <w:rPr>
          <w:rFonts w:ascii="Times New Roman" w:hAnsi="Times New Roman" w:cs="Times New Roman"/>
          <w:sz w:val="24"/>
          <w:szCs w:val="24"/>
        </w:rPr>
        <w:t>oda Sermaye Transferlerinin 2021 ve 2022</w:t>
      </w:r>
      <w:r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 gösterilmiştir.</w:t>
      </w:r>
    </w:p>
    <w:p w:rsidR="001C40A1" w:rsidRDefault="00F922B7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96D3DCF" wp14:editId="5D4BFC56">
            <wp:extent cx="5592418" cy="3238500"/>
            <wp:effectExtent l="0" t="0" r="8890" b="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5795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2258" w:rsidRDefault="00942258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GELİRLERİ</w:t>
      </w:r>
    </w:p>
    <w:p w:rsidR="00FB20CC" w:rsidRDefault="00AF7F36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F922B7">
        <w:rPr>
          <w:rFonts w:ascii="Times New Roman" w:hAnsi="Times New Roman" w:cs="Times New Roman"/>
          <w:sz w:val="24"/>
          <w:szCs w:val="24"/>
        </w:rPr>
        <w:t>2</w:t>
      </w:r>
      <w:r w:rsidR="00942258">
        <w:rPr>
          <w:rFonts w:ascii="Times New Roman" w:hAnsi="Times New Roman" w:cs="Times New Roman"/>
          <w:sz w:val="24"/>
          <w:szCs w:val="24"/>
        </w:rPr>
        <w:t xml:space="preserve"> yılı Bütçe Geliri tahmini </w:t>
      </w:r>
      <w:r w:rsidR="00E56A73">
        <w:rPr>
          <w:rFonts w:ascii="Times New Roman" w:hAnsi="Times New Roman" w:cs="Times New Roman"/>
          <w:sz w:val="24"/>
          <w:szCs w:val="24"/>
        </w:rPr>
        <w:t>384.015.000,00</w:t>
      </w:r>
      <w:r w:rsidR="00942258">
        <w:rPr>
          <w:rFonts w:ascii="Times New Roman" w:hAnsi="Times New Roman" w:cs="Times New Roman"/>
          <w:sz w:val="24"/>
          <w:szCs w:val="24"/>
        </w:rPr>
        <w:t xml:space="preserve"> TL’dir. İlk altı aylık dönemde </w:t>
      </w:r>
      <w:r w:rsidR="00BB238F">
        <w:rPr>
          <w:rFonts w:ascii="Times New Roman" w:hAnsi="Times New Roman" w:cs="Times New Roman"/>
          <w:sz w:val="24"/>
          <w:szCs w:val="24"/>
        </w:rPr>
        <w:t>19.991.474,53</w:t>
      </w:r>
      <w:r w:rsidR="00942258">
        <w:rPr>
          <w:rFonts w:ascii="Times New Roman" w:hAnsi="Times New Roman" w:cs="Times New Roman"/>
          <w:sz w:val="24"/>
          <w:szCs w:val="24"/>
        </w:rPr>
        <w:t xml:space="preserve"> TL olarak gerçekleşmiştir. </w:t>
      </w:r>
    </w:p>
    <w:p w:rsidR="00942258" w:rsidRDefault="0094225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Bütçe tertiplerine dağılımları aşağıdaki tabloda gösterilmiştir.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40"/>
        <w:gridCol w:w="2130"/>
      </w:tblGrid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AF7F36" w:rsidP="00C96F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BB238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Yılı 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Tahmin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i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FB20CC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Ocak-Haziran Gerçekleşme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03.Teşebbüs ve Mülkiyet Gelirleri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 ₺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04. Alınan Bağış ve Yardımlar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E56A73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383.015.000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542D4" w:rsidRPr="008526B9" w:rsidRDefault="00BB238F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18.204.000,00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05. Diğer Gelirler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E56A73" w:rsidP="00C96F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1.000.000,00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BB238F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787.474,53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E56A73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384.015.000,00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542D4" w:rsidRPr="008526B9" w:rsidRDefault="00BB238F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19.991.474,53</w:t>
            </w:r>
          </w:p>
        </w:tc>
      </w:tr>
    </w:tbl>
    <w:p w:rsidR="008526B9" w:rsidRDefault="008526B9" w:rsidP="007A3B92">
      <w:pPr>
        <w:spacing w:line="360" w:lineRule="auto"/>
        <w:ind w:firstLine="708"/>
        <w:rPr>
          <w:rFonts w:ascii="Times New Roman" w:hAnsi="Times New Roman" w:cs="Times New Roman"/>
          <w:noProof/>
          <w:sz w:val="22"/>
          <w:szCs w:val="22"/>
          <w:lang w:eastAsia="tr-TR"/>
        </w:rPr>
      </w:pPr>
    </w:p>
    <w:p w:rsidR="007E58D5" w:rsidRDefault="009E04B7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</w:t>
      </w:r>
      <w:r w:rsidR="007E58D5">
        <w:rPr>
          <w:rFonts w:ascii="Times New Roman" w:hAnsi="Times New Roman" w:cs="Times New Roman"/>
          <w:sz w:val="24"/>
          <w:szCs w:val="24"/>
        </w:rPr>
        <w:t xml:space="preserve">Kurumumuz bir önceki yılı Bütçe geliri tahmini </w:t>
      </w:r>
      <w:r w:rsidR="00E56A73">
        <w:rPr>
          <w:rFonts w:ascii="Times New Roman" w:hAnsi="Times New Roman" w:cs="Times New Roman"/>
          <w:sz w:val="24"/>
          <w:szCs w:val="24"/>
        </w:rPr>
        <w:t>96.957.080</w:t>
      </w:r>
      <w:r w:rsidR="007E58D5">
        <w:rPr>
          <w:rFonts w:ascii="Times New Roman" w:hAnsi="Times New Roman" w:cs="Times New Roman"/>
          <w:sz w:val="24"/>
          <w:szCs w:val="24"/>
        </w:rPr>
        <w:t xml:space="preserve">,00 TL olup, ilk altı aylık dönemde </w:t>
      </w:r>
      <w:r w:rsidR="00BB238F">
        <w:rPr>
          <w:rFonts w:ascii="Times New Roman" w:hAnsi="Times New Roman" w:cs="Times New Roman"/>
          <w:sz w:val="24"/>
          <w:szCs w:val="24"/>
        </w:rPr>
        <w:t>16.638.479,94</w:t>
      </w:r>
      <w:r w:rsidR="007E58D5">
        <w:rPr>
          <w:rFonts w:ascii="Times New Roman" w:hAnsi="Times New Roman" w:cs="Times New Roman"/>
          <w:sz w:val="24"/>
          <w:szCs w:val="24"/>
        </w:rPr>
        <w:t xml:space="preserve"> TL olarak gerçekleşmiştir. </w:t>
      </w:r>
    </w:p>
    <w:p w:rsidR="00AE45F3" w:rsidRDefault="00BB238F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AF7F36">
        <w:rPr>
          <w:rFonts w:ascii="Times New Roman" w:hAnsi="Times New Roman" w:cs="Times New Roman"/>
          <w:sz w:val="24"/>
          <w:szCs w:val="24"/>
        </w:rPr>
        <w:t xml:space="preserve"> yılları Ocak-Haziran gelir gerçekleşmeleri aşağıdaki tabloda gösterilmiştir.</w:t>
      </w:r>
    </w:p>
    <w:p w:rsidR="004753EC" w:rsidRDefault="00BB238F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AD49899" wp14:editId="30D1DCC2">
            <wp:extent cx="5246077" cy="3219450"/>
            <wp:effectExtent l="0" t="0" r="12065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04B7" w:rsidRDefault="009E04B7" w:rsidP="007A3B92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7C9C" w:rsidRDefault="005B7C9C" w:rsidP="007A3B9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C9C">
        <w:rPr>
          <w:rFonts w:ascii="Times New Roman" w:hAnsi="Times New Roman" w:cs="Times New Roman"/>
          <w:b/>
          <w:sz w:val="24"/>
          <w:szCs w:val="24"/>
        </w:rPr>
        <w:t>FİNANSMAN</w:t>
      </w:r>
    </w:p>
    <w:p w:rsidR="005B7C9C" w:rsidRPr="005B7C9C" w:rsidRDefault="005B7C9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73">
        <w:rPr>
          <w:rFonts w:ascii="Times New Roman" w:hAnsi="Times New Roman" w:cs="Times New Roman"/>
          <w:sz w:val="24"/>
          <w:szCs w:val="24"/>
        </w:rPr>
        <w:t>Kurumumuz tarafından 2022</w:t>
      </w:r>
      <w:r>
        <w:rPr>
          <w:rFonts w:ascii="Times New Roman" w:hAnsi="Times New Roman" w:cs="Times New Roman"/>
          <w:sz w:val="24"/>
          <w:szCs w:val="24"/>
        </w:rPr>
        <w:t xml:space="preserve"> yılının Ocak – Haziran döneminde toplamda </w:t>
      </w:r>
      <w:r w:rsidR="00E56A73">
        <w:rPr>
          <w:rFonts w:ascii="Times New Roman" w:hAnsi="Times New Roman" w:cs="Times New Roman"/>
          <w:sz w:val="24"/>
          <w:szCs w:val="24"/>
        </w:rPr>
        <w:t xml:space="preserve">19.991.474,53 </w:t>
      </w:r>
      <w:r>
        <w:rPr>
          <w:rFonts w:ascii="Times New Roman" w:hAnsi="Times New Roman" w:cs="Times New Roman"/>
          <w:sz w:val="24"/>
          <w:szCs w:val="24"/>
        </w:rPr>
        <w:t>TL harcama yapıl</w:t>
      </w:r>
      <w:r w:rsidR="00C96F8B">
        <w:rPr>
          <w:rFonts w:ascii="Times New Roman" w:hAnsi="Times New Roman" w:cs="Times New Roman"/>
          <w:sz w:val="24"/>
          <w:szCs w:val="24"/>
        </w:rPr>
        <w:t>mış olup</w:t>
      </w:r>
      <w:r w:rsidR="00E56A73">
        <w:rPr>
          <w:rFonts w:ascii="Times New Roman" w:hAnsi="Times New Roman" w:cs="Times New Roman"/>
          <w:sz w:val="24"/>
          <w:szCs w:val="24"/>
        </w:rPr>
        <w:t>,</w:t>
      </w:r>
      <w:r w:rsidR="00C96F8B">
        <w:rPr>
          <w:rFonts w:ascii="Times New Roman" w:hAnsi="Times New Roman" w:cs="Times New Roman"/>
          <w:sz w:val="24"/>
          <w:szCs w:val="24"/>
        </w:rPr>
        <w:t xml:space="preserve"> bunların</w:t>
      </w:r>
      <w:r w:rsidR="00E56A73">
        <w:rPr>
          <w:rFonts w:ascii="Times New Roman" w:hAnsi="Times New Roman" w:cs="Times New Roman"/>
          <w:sz w:val="24"/>
          <w:szCs w:val="24"/>
        </w:rPr>
        <w:t xml:space="preserve"> finansmanı Hazine Yardımları, kurumun gelirleri ve net finansman fazlası yöntemleriyle</w:t>
      </w:r>
      <w:r w:rsidR="00C96F8B">
        <w:rPr>
          <w:rFonts w:ascii="Times New Roman" w:hAnsi="Times New Roman" w:cs="Times New Roman"/>
          <w:sz w:val="24"/>
          <w:szCs w:val="24"/>
        </w:rPr>
        <w:t xml:space="preserve"> k</w:t>
      </w:r>
      <w:r w:rsidR="001A31A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tr-TR"/>
        </w:rPr>
        <w:t>arşılanmıştır.</w:t>
      </w:r>
    </w:p>
    <w:p w:rsidR="004753EC" w:rsidRDefault="0047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D60" w:rsidRDefault="00D00D60" w:rsidP="007A3B9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360" w:lineRule="auto"/>
        <w:ind w:right="1817"/>
        <w:rPr>
          <w:rFonts w:ascii="Times New Roman" w:hAnsi="Times New Roman" w:cs="Times New Roman"/>
          <w:b/>
          <w:sz w:val="24"/>
          <w:szCs w:val="24"/>
        </w:rPr>
      </w:pPr>
      <w:r w:rsidRPr="003818C4">
        <w:rPr>
          <w:rFonts w:ascii="Times New Roman" w:hAnsi="Times New Roman" w:cs="Times New Roman"/>
          <w:b/>
          <w:sz w:val="24"/>
          <w:szCs w:val="24"/>
        </w:rPr>
        <w:t>OCAK-HAZİRAN 20</w:t>
      </w:r>
      <w:r w:rsidR="00E56A73">
        <w:rPr>
          <w:rFonts w:ascii="Times New Roman" w:hAnsi="Times New Roman" w:cs="Times New Roman"/>
          <w:b/>
          <w:sz w:val="24"/>
          <w:szCs w:val="24"/>
        </w:rPr>
        <w:t>22</w:t>
      </w:r>
      <w:r w:rsidRPr="003818C4">
        <w:rPr>
          <w:rFonts w:ascii="Times New Roman" w:hAnsi="Times New Roman" w:cs="Times New Roman"/>
          <w:b/>
          <w:sz w:val="24"/>
          <w:szCs w:val="24"/>
        </w:rPr>
        <w:t xml:space="preserve"> DÖNEMİNDE YÜRÜTÜLE</w:t>
      </w:r>
      <w:r w:rsidR="003818C4" w:rsidRPr="003818C4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3818C4">
        <w:rPr>
          <w:rFonts w:ascii="Times New Roman" w:hAnsi="Times New Roman" w:cs="Times New Roman"/>
          <w:b/>
          <w:sz w:val="24"/>
          <w:szCs w:val="24"/>
        </w:rPr>
        <w:t>FAALİYETLER</w:t>
      </w:r>
    </w:p>
    <w:p w:rsidR="00AE45F3" w:rsidRPr="00AE45F3" w:rsidRDefault="00AE45F3" w:rsidP="007A3B92">
      <w:pPr>
        <w:pStyle w:val="ListeParagraf"/>
        <w:widowControl w:val="0"/>
        <w:autoSpaceDE w:val="0"/>
        <w:autoSpaceDN w:val="0"/>
        <w:adjustRightInd w:val="0"/>
        <w:spacing w:before="29" w:after="0" w:line="360" w:lineRule="auto"/>
        <w:ind w:left="1068" w:right="1817"/>
        <w:rPr>
          <w:rFonts w:ascii="Times New Roman" w:hAnsi="Times New Roman" w:cs="Times New Roman"/>
          <w:b/>
          <w:sz w:val="24"/>
          <w:szCs w:val="24"/>
        </w:rPr>
      </w:pPr>
    </w:p>
    <w:p w:rsidR="00D00D60" w:rsidRDefault="003818C4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Kurumumuz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O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ca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-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6A73">
        <w:rPr>
          <w:rFonts w:ascii="Times New Roman" w:hAnsi="Times New Roman"/>
          <w:sz w:val="24"/>
          <w:szCs w:val="24"/>
        </w:rPr>
        <w:t>2022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dön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nde bütç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e 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ğlan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kla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ı, ih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rının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sır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sını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k,</w:t>
      </w:r>
      <w:r w:rsidR="00AF7F36">
        <w:rPr>
          <w:rFonts w:ascii="Times New Roman" w:hAnsi="Times New Roman"/>
          <w:spacing w:val="2"/>
          <w:sz w:val="24"/>
          <w:szCs w:val="24"/>
        </w:rPr>
        <w:t xml:space="preserve"> 202</w:t>
      </w:r>
      <w:r w:rsidR="00E56A73">
        <w:rPr>
          <w:rFonts w:ascii="Times New Roman" w:hAnsi="Times New Roman"/>
          <w:spacing w:val="2"/>
          <w:sz w:val="24"/>
          <w:szCs w:val="24"/>
        </w:rPr>
        <w:t>2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yılı Merkezi Yönetim Bütçe Kanunu, </w:t>
      </w:r>
      <w:r w:rsidR="00AF7F36">
        <w:rPr>
          <w:rFonts w:ascii="Times New Roman" w:hAnsi="Times New Roman"/>
          <w:sz w:val="24"/>
          <w:szCs w:val="24"/>
        </w:rPr>
        <w:t>202</w:t>
      </w:r>
      <w:r w:rsidR="00E56A73">
        <w:rPr>
          <w:rFonts w:ascii="Times New Roman" w:hAnsi="Times New Roman"/>
          <w:sz w:val="24"/>
          <w:szCs w:val="24"/>
        </w:rPr>
        <w:t>2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Me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Yönet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D00D60" w:rsidRPr="003818C4">
        <w:rPr>
          <w:rFonts w:ascii="Times New Roman" w:hAnsi="Times New Roman"/>
          <w:sz w:val="24"/>
          <w:szCs w:val="24"/>
        </w:rPr>
        <w:t xml:space="preserve">ütçe 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gulama 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 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 xml:space="preserve">e 5018 Sayılı Kamu Mali Yönetimi ve Kontrol Kanunu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sinde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tas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uf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nl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ışı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sind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mali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dis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pl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 xml:space="preserve">n </w:t>
      </w:r>
      <w:r w:rsidR="00D00D60" w:rsidRPr="003818C4">
        <w:rPr>
          <w:rFonts w:ascii="Times New Roman" w:hAnsi="Times New Roman"/>
          <w:sz w:val="24"/>
          <w:szCs w:val="24"/>
        </w:rPr>
        <w:lastRenderedPageBreak/>
        <w:t>ilkel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rine b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la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k</w:t>
      </w:r>
      <w:r w:rsidR="00D00D60" w:rsidRPr="003818C4">
        <w:rPr>
          <w:rFonts w:ascii="Times New Roman" w:hAnsi="Times New Roman"/>
          <w:sz w:val="24"/>
          <w:szCs w:val="24"/>
        </w:rPr>
        <w:t xml:space="preserve">,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tk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li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p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ni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kte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tu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içinde b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d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fl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re ulaşma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olun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D00D60" w:rsidRPr="003818C4">
        <w:rPr>
          <w:rFonts w:ascii="Times New Roman" w:hAnsi="Times New Roman"/>
          <w:sz w:val="24"/>
          <w:szCs w:val="24"/>
        </w:rPr>
        <w:t>a kul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masına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 xml:space="preserve">n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s</w:t>
      </w:r>
      <w:r w:rsidR="00D00D60" w:rsidRPr="003818C4">
        <w:rPr>
          <w:rFonts w:ascii="Times New Roman" w:hAnsi="Times New Roman"/>
          <w:sz w:val="24"/>
          <w:szCs w:val="24"/>
        </w:rPr>
        <w:t>term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şt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r.</w:t>
      </w:r>
      <w:proofErr w:type="gramEnd"/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Pr="000E138F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D00D60" w:rsidRPr="003818C4" w:rsidRDefault="003818C4" w:rsidP="007A3B92">
      <w:pPr>
        <w:pStyle w:val="ListeParagraf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 – ARALIK 20</w:t>
      </w:r>
      <w:r w:rsidR="00E56A73">
        <w:rPr>
          <w:rFonts w:ascii="Times New Roman" w:hAnsi="Times New Roman" w:cs="Times New Roman"/>
          <w:b/>
          <w:sz w:val="24"/>
          <w:szCs w:val="24"/>
        </w:rPr>
        <w:t>22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DÖNEMİ BEKLENTİ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VE HEDEFLER</w:t>
      </w:r>
    </w:p>
    <w:p w:rsidR="000A2F7C" w:rsidRDefault="000A2F7C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2AC9" w:rsidRDefault="001E2AC9" w:rsidP="007A3B92">
      <w:pPr>
        <w:pStyle w:val="ListeParagraf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C4277C" w:rsidRDefault="00C4277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</w:t>
      </w:r>
      <w:r w:rsidR="00E56A7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73">
        <w:rPr>
          <w:rFonts w:ascii="Times New Roman" w:hAnsi="Times New Roman" w:cs="Times New Roman"/>
          <w:sz w:val="24"/>
          <w:szCs w:val="24"/>
        </w:rPr>
        <w:t>yılı başlangıç ödeneği toplamı 109.343.000</w:t>
      </w:r>
      <w:r>
        <w:rPr>
          <w:rFonts w:ascii="Times New Roman" w:hAnsi="Times New Roman" w:cs="Times New Roman"/>
          <w:sz w:val="24"/>
          <w:szCs w:val="24"/>
        </w:rPr>
        <w:t>,00 T</w:t>
      </w:r>
      <w:r w:rsidR="00E56A73">
        <w:rPr>
          <w:rFonts w:ascii="Times New Roman" w:hAnsi="Times New Roman" w:cs="Times New Roman"/>
          <w:sz w:val="24"/>
          <w:szCs w:val="24"/>
        </w:rPr>
        <w:t xml:space="preserve">L olup yılsonu harcama tahmini 384.015.000,00 TL’dir. 2022 yılı başlangıcında kurumumuzun sermaye transferleri tertibinde 98.664.000,00 TL ödenek bulunmaktayken dönem içinde Başkanlığımız bütçesine </w:t>
      </w:r>
      <w:r w:rsidR="00661E2F">
        <w:rPr>
          <w:rFonts w:ascii="Times New Roman" w:hAnsi="Times New Roman" w:cs="Times New Roman"/>
          <w:sz w:val="24"/>
          <w:szCs w:val="24"/>
        </w:rPr>
        <w:t xml:space="preserve">Cumhurbaşkanlığı Strateji ve Bütçe Başkanlığı tarafından 266.935.000,00 TL </w:t>
      </w:r>
      <w:r w:rsidR="00E56A73">
        <w:rPr>
          <w:rFonts w:ascii="Times New Roman" w:hAnsi="Times New Roman" w:cs="Times New Roman"/>
          <w:sz w:val="24"/>
          <w:szCs w:val="24"/>
        </w:rPr>
        <w:t xml:space="preserve">ek bütçeyle birlikte mevcut ve yeni projelere </w:t>
      </w:r>
      <w:r w:rsidR="00661E2F">
        <w:rPr>
          <w:rFonts w:ascii="Times New Roman" w:hAnsi="Times New Roman" w:cs="Times New Roman"/>
          <w:sz w:val="24"/>
          <w:szCs w:val="24"/>
        </w:rPr>
        <w:t xml:space="preserve">eklenmiştir. Dolayısıyla </w:t>
      </w:r>
      <w:proofErr w:type="gramStart"/>
      <w:r w:rsidR="00661E2F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="00661E2F">
        <w:rPr>
          <w:rFonts w:ascii="Times New Roman" w:hAnsi="Times New Roman" w:cs="Times New Roman"/>
          <w:sz w:val="24"/>
          <w:szCs w:val="24"/>
        </w:rPr>
        <w:t xml:space="preserve"> harcama tahmini </w:t>
      </w:r>
      <w:bookmarkStart w:id="0" w:name="_GoBack"/>
      <w:bookmarkEnd w:id="0"/>
      <w:r w:rsidR="00661E2F">
        <w:rPr>
          <w:rFonts w:ascii="Times New Roman" w:hAnsi="Times New Roman" w:cs="Times New Roman"/>
          <w:sz w:val="24"/>
          <w:szCs w:val="24"/>
        </w:rPr>
        <w:t xml:space="preserve">tutarı artmıştır.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803"/>
        <w:gridCol w:w="1977"/>
        <w:gridCol w:w="1851"/>
      </w:tblGrid>
      <w:tr w:rsidR="00B246E6" w:rsidRPr="00B246E6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294CFB" w:rsidP="00C96F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E56A73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B246E6"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KBÖ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İlk 6 Ay Harcama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294CF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Yılsonu </w:t>
            </w:r>
            <w:r w:rsidR="00B246E6"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Harcama Tahmini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5.896.000,00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4.174.161,43 TL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10.100.000,00 TL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Kur. Dev. Prim Öd.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986.000,00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674.814,20 TL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1.600.000,00 TL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3.535.000,00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D67B7C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2.785.384,25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5.000.000,00 TL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262.000,00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108.774,00 TL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216.000,00 TL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 TL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1.500.000,00 TL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98.664.000,00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66.682,82 TL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365.599.000,00 TL</w:t>
            </w:r>
          </w:p>
        </w:tc>
      </w:tr>
      <w:tr w:rsidR="00E56A73" w:rsidRPr="003818C4" w:rsidTr="00801972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E56A73" w:rsidRPr="00B246E6" w:rsidRDefault="00E56A73" w:rsidP="00E56A73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109.343.000,00 TL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D67B7C" w:rsidP="00D67B7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7.809.856,70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E56A73" w:rsidRDefault="00E56A73" w:rsidP="00E56A7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384.015.000,00 TL</w:t>
            </w:r>
          </w:p>
        </w:tc>
      </w:tr>
    </w:tbl>
    <w:p w:rsidR="000A2F7C" w:rsidRDefault="000A2F7C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5F1F" w:rsidRDefault="006D5F1F" w:rsidP="007A3B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661E2F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46C72F6" wp14:editId="551DD416">
            <wp:extent cx="5760720" cy="3383915"/>
            <wp:effectExtent l="0" t="0" r="11430" b="698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9629D" w:rsidRDefault="0029629D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5F6C0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GELİRLERİ</w:t>
      </w:r>
    </w:p>
    <w:p w:rsidR="00C4277C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61E2F">
        <w:rPr>
          <w:rFonts w:ascii="Times New Roman" w:hAnsi="Times New Roman" w:cs="Times New Roman"/>
          <w:sz w:val="24"/>
          <w:szCs w:val="24"/>
        </w:rPr>
        <w:t>2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 yılı yılsonu itibariyle 04. Alınan Bağış ve Yardımlar ile Özel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661E2F">
        <w:rPr>
          <w:rFonts w:ascii="Times New Roman" w:hAnsi="Times New Roman" w:cs="Times New Roman"/>
          <w:sz w:val="24"/>
          <w:szCs w:val="24"/>
        </w:rPr>
        <w:t>383.015</w:t>
      </w:r>
      <w:r w:rsidR="005F6C0F" w:rsidRPr="003818C4">
        <w:rPr>
          <w:rFonts w:ascii="Times New Roman" w:hAnsi="Times New Roman" w:cs="Times New Roman"/>
          <w:sz w:val="24"/>
          <w:szCs w:val="24"/>
        </w:rPr>
        <w:t>.000,00 TL, 05. Diğer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661E2F">
        <w:rPr>
          <w:rFonts w:ascii="Times New Roman" w:hAnsi="Times New Roman" w:cs="Times New Roman"/>
          <w:sz w:val="24"/>
          <w:szCs w:val="24"/>
        </w:rPr>
        <w:t>1.000.000</w:t>
      </w:r>
      <w:r w:rsidR="00C96F8B">
        <w:rPr>
          <w:rFonts w:ascii="Times New Roman" w:hAnsi="Times New Roman" w:cs="Times New Roman"/>
          <w:sz w:val="24"/>
          <w:szCs w:val="24"/>
        </w:rPr>
        <w:t>,0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0 TL olmak üzere toplamda </w:t>
      </w:r>
      <w:r w:rsidR="00661E2F">
        <w:rPr>
          <w:rFonts w:ascii="Times New Roman" w:hAnsi="Times New Roman" w:cs="Times New Roman"/>
          <w:sz w:val="24"/>
          <w:szCs w:val="24"/>
        </w:rPr>
        <w:t>384.015.000</w:t>
      </w:r>
      <w:r w:rsidR="00865F4D">
        <w:rPr>
          <w:rFonts w:ascii="Times New Roman" w:hAnsi="Times New Roman" w:cs="Times New Roman"/>
          <w:sz w:val="24"/>
          <w:szCs w:val="24"/>
        </w:rPr>
        <w:t xml:space="preserve">,00 </w:t>
      </w:r>
      <w:r w:rsidR="005F6C0F" w:rsidRPr="003818C4">
        <w:rPr>
          <w:rFonts w:ascii="Times New Roman" w:hAnsi="Times New Roman" w:cs="Times New Roman"/>
          <w:sz w:val="24"/>
          <w:szCs w:val="24"/>
        </w:rPr>
        <w:t>TL gelir elde edilmesi planlanmaktadır.</w:t>
      </w:r>
      <w:r w:rsidR="005F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D4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Beklenen gelirlerin 20</w:t>
      </w:r>
      <w:r w:rsidR="00661E2F">
        <w:rPr>
          <w:rFonts w:ascii="Times New Roman" w:hAnsi="Times New Roman" w:cs="Times New Roman"/>
          <w:sz w:val="24"/>
          <w:szCs w:val="24"/>
        </w:rPr>
        <w:t>21</w:t>
      </w:r>
      <w:r w:rsidR="005F6C0F">
        <w:rPr>
          <w:rFonts w:ascii="Times New Roman" w:hAnsi="Times New Roman" w:cs="Times New Roman"/>
          <w:sz w:val="24"/>
          <w:szCs w:val="24"/>
        </w:rPr>
        <w:t xml:space="preserve"> yılı ile karşılaştırılması aşağıdaki tabloda sunulmuştur. </w:t>
      </w:r>
    </w:p>
    <w:p w:rsidR="004B1975" w:rsidRDefault="004B1975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6"/>
        <w:gridCol w:w="1929"/>
        <w:gridCol w:w="1789"/>
      </w:tblGrid>
      <w:tr w:rsidR="003818C4" w:rsidRPr="003818C4" w:rsidTr="00661E2F">
        <w:trPr>
          <w:trHeight w:val="568"/>
          <w:jc w:val="center"/>
        </w:trPr>
        <w:tc>
          <w:tcPr>
            <w:tcW w:w="4786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3818C4" w:rsidRPr="003818C4" w:rsidRDefault="003818C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38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TERTİBİ</w:t>
            </w:r>
          </w:p>
        </w:tc>
        <w:tc>
          <w:tcPr>
            <w:tcW w:w="1929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3818C4" w:rsidRPr="003818C4" w:rsidRDefault="00294CFB" w:rsidP="00865F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</w:t>
            </w:r>
            <w:r w:rsidR="0066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21</w:t>
            </w:r>
          </w:p>
        </w:tc>
        <w:tc>
          <w:tcPr>
            <w:tcW w:w="1789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4F81BD"/>
            <w:noWrap/>
            <w:vAlign w:val="center"/>
            <w:hideMark/>
          </w:tcPr>
          <w:p w:rsidR="003818C4" w:rsidRPr="003818C4" w:rsidRDefault="00294CFB" w:rsidP="007A3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661E2F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022</w:t>
            </w:r>
          </w:p>
        </w:tc>
      </w:tr>
      <w:tr w:rsidR="00661E2F" w:rsidRPr="003818C4" w:rsidTr="00661E2F">
        <w:trPr>
          <w:trHeight w:val="370"/>
          <w:jc w:val="center"/>
        </w:trPr>
        <w:tc>
          <w:tcPr>
            <w:tcW w:w="4786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661E2F" w:rsidRPr="00661E2F" w:rsidRDefault="00661E2F" w:rsidP="00661E2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E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03. Teşebbüs ve Mülkiyet Gelirleri</w:t>
            </w:r>
          </w:p>
        </w:tc>
        <w:tc>
          <w:tcPr>
            <w:tcW w:w="1929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hideMark/>
          </w:tcPr>
          <w:p w:rsidR="00661E2F" w:rsidRPr="00661E2F" w:rsidRDefault="00661E2F" w:rsidP="00661E2F">
            <w:pPr>
              <w:jc w:val="right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0,00 TL</w:t>
            </w:r>
          </w:p>
        </w:tc>
        <w:tc>
          <w:tcPr>
            <w:tcW w:w="1789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hideMark/>
          </w:tcPr>
          <w:p w:rsidR="00661E2F" w:rsidRPr="00661E2F" w:rsidRDefault="00661E2F" w:rsidP="00661E2F">
            <w:pPr>
              <w:jc w:val="right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0,00 TL</w:t>
            </w:r>
          </w:p>
        </w:tc>
      </w:tr>
      <w:tr w:rsidR="00661E2F" w:rsidRPr="003818C4" w:rsidTr="00661E2F">
        <w:trPr>
          <w:trHeight w:val="370"/>
          <w:jc w:val="center"/>
        </w:trPr>
        <w:tc>
          <w:tcPr>
            <w:tcW w:w="4786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661E2F" w:rsidRPr="00661E2F" w:rsidRDefault="00661E2F" w:rsidP="00661E2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E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04. Alınan Bağış ve Yardımlar ile Özel Gelirler</w:t>
            </w:r>
          </w:p>
        </w:tc>
        <w:tc>
          <w:tcPr>
            <w:tcW w:w="1929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:rsidR="00661E2F" w:rsidRPr="00661E2F" w:rsidRDefault="00661E2F" w:rsidP="00661E2F">
            <w:pPr>
              <w:jc w:val="right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94.799.000,00 TL</w:t>
            </w:r>
          </w:p>
        </w:tc>
        <w:tc>
          <w:tcPr>
            <w:tcW w:w="1789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noWrap/>
            <w:hideMark/>
          </w:tcPr>
          <w:p w:rsidR="00661E2F" w:rsidRPr="00661E2F" w:rsidRDefault="00661E2F" w:rsidP="00661E2F">
            <w:pPr>
              <w:jc w:val="right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383.015.000,00 TL</w:t>
            </w:r>
          </w:p>
        </w:tc>
      </w:tr>
      <w:tr w:rsidR="00661E2F" w:rsidRPr="003818C4" w:rsidTr="00661E2F">
        <w:trPr>
          <w:trHeight w:val="351"/>
          <w:jc w:val="center"/>
        </w:trPr>
        <w:tc>
          <w:tcPr>
            <w:tcW w:w="4786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661E2F" w:rsidRPr="00661E2F" w:rsidRDefault="00661E2F" w:rsidP="00661E2F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1E2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05. Diğer Gelirler</w:t>
            </w:r>
          </w:p>
        </w:tc>
        <w:tc>
          <w:tcPr>
            <w:tcW w:w="1929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hideMark/>
          </w:tcPr>
          <w:p w:rsidR="00661E2F" w:rsidRPr="00661E2F" w:rsidRDefault="00661E2F" w:rsidP="00661E2F">
            <w:pPr>
              <w:jc w:val="right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2.158.080,00 TL</w:t>
            </w:r>
          </w:p>
        </w:tc>
        <w:tc>
          <w:tcPr>
            <w:tcW w:w="1789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hideMark/>
          </w:tcPr>
          <w:p w:rsidR="00661E2F" w:rsidRPr="00661E2F" w:rsidRDefault="00661E2F" w:rsidP="00661E2F">
            <w:pPr>
              <w:jc w:val="right"/>
              <w:rPr>
                <w:rFonts w:ascii="Times New Roman" w:hAnsi="Times New Roman" w:cs="Times New Roman"/>
              </w:rPr>
            </w:pPr>
            <w:r w:rsidRPr="00661E2F">
              <w:rPr>
                <w:rFonts w:ascii="Times New Roman" w:hAnsi="Times New Roman" w:cs="Times New Roman"/>
              </w:rPr>
              <w:t>1.000.000,00 TL</w:t>
            </w:r>
          </w:p>
        </w:tc>
      </w:tr>
    </w:tbl>
    <w:p w:rsidR="008918CC" w:rsidRDefault="008918CC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B1975" w:rsidRDefault="004B1975" w:rsidP="007A3B92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B1975" w:rsidRDefault="00661E2F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C9CFE77" wp14:editId="30A8EB9D">
            <wp:extent cx="5686425" cy="3019425"/>
            <wp:effectExtent l="0" t="0" r="952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145CE" w:rsidRPr="00E145CE" w:rsidRDefault="00E145CE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31AF" w:rsidRPr="00E145CE" w:rsidRDefault="001A31A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FİNANSMAN</w:t>
      </w:r>
    </w:p>
    <w:p w:rsidR="001A31AF" w:rsidRDefault="00661E2F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2022</w:t>
      </w:r>
      <w:r w:rsidR="001A31AF">
        <w:rPr>
          <w:rFonts w:ascii="Times New Roman" w:hAnsi="Times New Roman" w:cs="Times New Roman"/>
          <w:sz w:val="24"/>
          <w:szCs w:val="24"/>
        </w:rPr>
        <w:t xml:space="preserve"> yılı toplam harcama tutarı olarak </w:t>
      </w:r>
      <w:r>
        <w:rPr>
          <w:rFonts w:ascii="Times New Roman" w:hAnsi="Times New Roman" w:cs="Times New Roman"/>
          <w:sz w:val="24"/>
          <w:szCs w:val="24"/>
        </w:rPr>
        <w:t>384.015.000</w:t>
      </w:r>
      <w:r w:rsidR="001A31AF">
        <w:rPr>
          <w:rFonts w:ascii="Times New Roman" w:hAnsi="Times New Roman" w:cs="Times New Roman"/>
          <w:sz w:val="24"/>
          <w:szCs w:val="24"/>
        </w:rPr>
        <w:t xml:space="preserve">,00 </w:t>
      </w:r>
      <w:r w:rsidR="00865F4D">
        <w:rPr>
          <w:rFonts w:ascii="Times New Roman" w:hAnsi="Times New Roman" w:cs="Times New Roman"/>
          <w:sz w:val="24"/>
          <w:szCs w:val="24"/>
        </w:rPr>
        <w:t>TL harcama tahmin edilmiş olup,</w:t>
      </w:r>
      <w:r w:rsidR="001A31AF">
        <w:rPr>
          <w:rFonts w:ascii="Times New Roman" w:hAnsi="Times New Roman" w:cs="Times New Roman"/>
          <w:sz w:val="24"/>
          <w:szCs w:val="24"/>
        </w:rPr>
        <w:t xml:space="preserve"> Alınan Bağış ve Yardımlar ile Özel Gelirlerden ve Diğer Gelirlerden elde edilen gelirlerle finansmanı sağlanacaktır.</w:t>
      </w:r>
    </w:p>
    <w:p w:rsidR="00155154" w:rsidRDefault="003818C4" w:rsidP="007A3B9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TEMMUZ – ARALIK </w:t>
      </w:r>
      <w:r w:rsidR="00661E2F">
        <w:rPr>
          <w:rFonts w:ascii="Times New Roman" w:hAnsi="Times New Roman" w:cs="Times New Roman"/>
          <w:b/>
          <w:sz w:val="24"/>
          <w:szCs w:val="24"/>
        </w:rPr>
        <w:t>2022</w:t>
      </w:r>
      <w:r w:rsidR="001A3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DÖNEMİNDE </w:t>
      </w:r>
      <w:r w:rsidR="001A31AF">
        <w:rPr>
          <w:rFonts w:ascii="Times New Roman" w:hAnsi="Times New Roman" w:cs="Times New Roman"/>
          <w:b/>
          <w:sz w:val="24"/>
          <w:szCs w:val="24"/>
        </w:rPr>
        <w:t>YÜRÜTÜLECEK FAALİYETLER</w:t>
      </w:r>
    </w:p>
    <w:p w:rsidR="00E31F35" w:rsidRDefault="003818C4" w:rsidP="0029629D">
      <w:pPr>
        <w:widowControl w:val="0"/>
        <w:autoSpaceDE w:val="0"/>
        <w:autoSpaceDN w:val="0"/>
        <w:adjustRightInd w:val="0"/>
        <w:spacing w:after="0" w:line="360" w:lineRule="auto"/>
        <w:ind w:left="119" w:right="72" w:firstLine="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Kurumumuzda</w:t>
      </w:r>
      <w:r w:rsidR="00E31F35" w:rsidRPr="003818C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661E2F">
        <w:rPr>
          <w:rFonts w:ascii="Times New Roman" w:hAnsi="Times New Roman"/>
          <w:sz w:val="24"/>
          <w:szCs w:val="24"/>
        </w:rPr>
        <w:t>2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ında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7</w:t>
      </w:r>
      <w:r w:rsidR="00661E2F">
        <w:rPr>
          <w:rFonts w:ascii="Times New Roman" w:hAnsi="Times New Roman"/>
          <w:sz w:val="24"/>
          <w:szCs w:val="24"/>
        </w:rPr>
        <w:t>344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Yön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</w:t>
      </w:r>
      <w:r w:rsidR="00E31F35" w:rsidRPr="003818C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rilen öd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 xml:space="preserve">kler 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rıntı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fin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nsman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p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ru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tusunda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-</w:t>
      </w:r>
      <w:r w:rsidR="00E31F35" w:rsidRPr="003818C4">
        <w:rPr>
          <w:rFonts w:ascii="Times New Roman" w:hAnsi="Times New Roman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ra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661E2F">
        <w:rPr>
          <w:rFonts w:ascii="Times New Roman" w:hAnsi="Times New Roman"/>
          <w:sz w:val="24"/>
          <w:szCs w:val="24"/>
        </w:rPr>
        <w:t>2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nde ih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rın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sına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rzu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maç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fl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re ulaşılm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olun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,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 xml:space="preserve">,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konom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rimli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ir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ş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aca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r.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 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hsis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 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kla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ı,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z w:val="24"/>
          <w:szCs w:val="24"/>
        </w:rPr>
        <w:t>im</w:t>
      </w:r>
      <w:r w:rsidR="00E31F35" w:rsidRPr="003818C4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rilmesin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sıra di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musal 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rilebilm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si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u</w:t>
      </w:r>
      <w:r w:rsidR="00E31F35" w:rsidRPr="003818C4">
        <w:rPr>
          <w:rFonts w:ascii="Times New Roman" w:hAnsi="Times New Roman"/>
          <w:sz w:val="24"/>
          <w:szCs w:val="24"/>
        </w:rPr>
        <w:t xml:space="preserve">f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ışı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risi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n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bund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c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 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rde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old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ibi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mali 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sip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ine 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dık kalı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 xml:space="preserve">k 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k</w:t>
      </w:r>
      <w:r w:rsidR="00E31F35" w:rsidRPr="003818C4">
        <w:rPr>
          <w:rFonts w:ascii="Times New Roman" w:hAnsi="Times New Roman"/>
          <w:sz w:val="24"/>
          <w:szCs w:val="24"/>
        </w:rPr>
        <w:t>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maya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 edile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r.</w:t>
      </w: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0058" w:rsidRPr="00D53DC3" w:rsidRDefault="00661E2F" w:rsidP="00E223D8">
      <w:pPr>
        <w:spacing w:line="360" w:lineRule="auto"/>
        <w:ind w:firstLine="708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2022</w:t>
      </w:r>
      <w:r w:rsidR="00E223D8" w:rsidRPr="00D53DC3">
        <w:rPr>
          <w:rFonts w:ascii="Times New Roman" w:hAnsi="Times New Roman"/>
          <w:spacing w:val="-9"/>
          <w:sz w:val="24"/>
          <w:szCs w:val="24"/>
        </w:rPr>
        <w:t xml:space="preserve"> yılında Başkanlığımız tarafından gerçekleştirilecek projeler </w:t>
      </w:r>
      <w:r w:rsidR="00D53DC3" w:rsidRPr="00D53DC3">
        <w:rPr>
          <w:rFonts w:ascii="Times New Roman" w:hAnsi="Times New Roman"/>
          <w:spacing w:val="-9"/>
          <w:sz w:val="24"/>
          <w:szCs w:val="24"/>
        </w:rPr>
        <w:t>şunlardır.</w:t>
      </w:r>
    </w:p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BİTKİSEL ÜRETİM: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Artvin İli Seracılığın Yaygınlaştırılması ve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Artvin Tel Sistemli Bağ Tesisi Kurulumu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Dondurarak Sebze Meyve kurutma Tesisi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Erbaa İlçesi Kesme Çiçek Yetiştiriciliğinin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Giresun İlinde Seracılığı Geliştirme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Kadın Eliyle Süs Bitkileri Üretimi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Mekanizasyon Alt Yapısının Güçlendirilmesi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Mikro</w:t>
            </w:r>
            <w:r w:rsidR="000B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</w:t>
            </w: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oğaltımla Fındık Fidan Üretiminde İklimlendirme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 İlinde Seracılığın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Örtü Altı Yetiştiriciliğin Geliştirilme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Örtü</w:t>
            </w:r>
            <w:r w:rsidR="000B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ltı Sebzeciliğin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Örtü</w:t>
            </w:r>
            <w:r w:rsidR="000B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</w:t>
            </w: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ltı Tarımda Yapay Işık (LED) Teknolojisi İle Verimli Üretim Modeli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Samsun İli Kırsal Gelir Kaynaklarının Çeşitlendirilmesi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Samsun İlinde Tıbbi ve Aromatik Bitki Yetiştiriciliğinin Yaygınlaştırılması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Sebze Meyve Kurutma ve Paketleme Tesisi Kurulum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Sürdürülebilir Kalkınma İçin Kadınların Kooperatifler Yoluyla Güçlendirilmesi (ASKOOP)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Sütliman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Kazova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Şavşat Belediyesi Yeni Terminal Alan</w:t>
            </w:r>
            <w:r w:rsidR="000B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 Yöresel Ürünler Satış Merkezi</w:t>
            </w: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Tarıma Dayalı Ekonomik Gelir Kaynaklarının Çeşitlendirilmesi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Tarımın Kalkınmasında Kadın Gücü Sera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Yöresel Ürün Üretim Atölyesi Hanım Eli İle Kuruluyor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Yöresel Ürünler Üretim ve Paketleme Tesisi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Default="00D13696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Yöresel Ürünlerin İşlenmesi, Depolanması, Paketlenmesi ve Satışı Tarladan Pazara Projesi</w:t>
            </w:r>
          </w:p>
          <w:p w:rsidR="000B0068" w:rsidRPr="00D13696" w:rsidRDefault="000B0068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 Ölçekli Tarımsal Sulama Projeleri</w:t>
            </w:r>
          </w:p>
        </w:tc>
      </w:tr>
    </w:tbl>
    <w:p w:rsidR="00D53DC3" w:rsidRPr="00D53DC3" w:rsidRDefault="00D53DC3" w:rsidP="00D53DC3">
      <w:p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</w:p>
    <w:p w:rsidR="00D53DC3" w:rsidRPr="00D53DC3" w:rsidRDefault="00D53DC3" w:rsidP="00D53DC3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HAYVANCILIK:</w:t>
      </w:r>
    </w:p>
    <w:p w:rsidR="00D53DC3" w:rsidRPr="00D53DC3" w:rsidRDefault="00D53DC3" w:rsidP="00D53DC3">
      <w:p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</w:p>
    <w:tbl>
      <w:tblPr>
        <w:tblW w:w="12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9"/>
      </w:tblGrid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Alabalık Tesisleri Modernizasyonu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Arı Yetiştiriciliği Birliği Tesis Altyapı Eksiklerini Tamamlama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Balda Kalitenin Arttırılması ve Marka Değer Oluşturulması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Buzağılar Ölmesin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DOKAP Bölgesi Fındık Altı Yumurta Tavukçuluğu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DOKAP Bölgesi Türk Somonu Yetiştiriciliğinde Hastalıklardan Ari ve Yetiştiricilik Performansı Yüksek Damızlık Stok Oluşturulması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Ekonomik Önemi Olan Kara Salyangozu (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Helix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aspersa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Üretimi ve Pazarlanması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Engelleri Aşalım Balımızı Yapalım Arıcılık Destek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 İşleme Tesisi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Göçer Yetiştiricilerin Yaşam Standartlarının Yükseltilmesi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Hayvan Sağlığı Laboratuvar ve Muayene Tesisi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Koyunculuk Alt Yapısını Geliştirme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0B0068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Köse Belediyesi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Mezba</w:t>
            </w:r>
            <w:r w:rsidR="00D13696"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hane</w:t>
            </w:r>
            <w:proofErr w:type="spellEnd"/>
            <w:r w:rsidR="00D13696"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Yapım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Küçükbaş Hayvancılığın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Malak Yetiştirme Koşullarını İyileştirme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Meralarda Otlatma Verimlili</w:t>
            </w:r>
            <w:r w:rsidR="000B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ği</w:t>
            </w: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Mobil Koyun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Banyoluğu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Polen Üretiminin Yaygınlaştırılması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Sağım Teknolojisinin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Sürdürülebilir Arıcılığın Geliştirilmesi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Yöresel Tat Tirit İçin Kaz Yetiştiriciliğini Yaygınlaştırma Projesi</w:t>
            </w:r>
          </w:p>
        </w:tc>
      </w:tr>
    </w:tbl>
    <w:p w:rsidR="00D53DC3" w:rsidRPr="00D53DC3" w:rsidRDefault="00D53DC3" w:rsidP="00D53DC3">
      <w:pPr>
        <w:rPr>
          <w:rFonts w:ascii="Times New Roman" w:hAnsi="Times New Roman"/>
          <w:spacing w:val="-9"/>
          <w:sz w:val="24"/>
          <w:szCs w:val="24"/>
        </w:rPr>
      </w:pPr>
    </w:p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KÜLTÜR: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Atölyemde Geleceğimi Kodluyorum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Bilim, Sanat, Kültür ve Astronomi, </w:t>
            </w:r>
            <w:proofErr w:type="spellStart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Akpınara</w:t>
            </w:r>
            <w:proofErr w:type="spellEnd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Geldin Mi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Cep Sinema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Coğrafya Bir Kentin Kaderi midir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Çorum Bayat Bilgi Evi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Eğitim Gemisi ile Öğrencilerin Staj Sorunun Giderilmesi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Fenni İlimler Atölyesi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Geleceğe Hazırlık Atölyeleri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Genç Yazılımcılar Atölyesi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Gezici Kütüphane Park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Gümüşhane Köse Kütüphane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İnovatif</w:t>
            </w:r>
            <w:proofErr w:type="spellEnd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Düşünme Merkezi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Kadınlar ve Gençler Harekete Geçiyor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Kemankeşler Ecdadın İzinde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Rize Çayeli Bilgi Evi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Sakin </w:t>
            </w:r>
            <w:proofErr w:type="spellStart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Şehirin</w:t>
            </w:r>
            <w:proofErr w:type="spellEnd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 Öğrencileri Atölyelerle Geleceğe Yürüyor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Sınıftan Öte Bir </w:t>
            </w:r>
            <w:proofErr w:type="gramStart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Mekan</w:t>
            </w:r>
            <w:proofErr w:type="gramEnd"/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: Müzik Sınıfı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Sporla Sosyalleş, Bağlan Hayata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Tasarım ve Beceri Atölyeleri İle Gelecekte Mesleki Eğitime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Tasarlayıp Üretiyorum Yeteneklerimi Keşfediyorum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Default="00D13696" w:rsidP="00D13696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Yeniköy Köyü Sosyal Hayat Canlanıyor Projesi</w:t>
            </w:r>
          </w:p>
          <w:p w:rsidR="00D13696" w:rsidRPr="00D13696" w:rsidRDefault="00D13696" w:rsidP="00D13696">
            <w:pPr>
              <w:spacing w:after="0" w:line="240" w:lineRule="auto"/>
              <w:ind w:left="360"/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13696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TURİZM:</w:t>
      </w:r>
    </w:p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5"/>
      </w:tblGrid>
      <w:tr w:rsidR="00D13696" w:rsidRPr="00D13696" w:rsidTr="000B0068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0B0068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Yeşil Yol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Bafra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Kapıkaya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Seyir Terası ve Yamaç Paraşütü Tesisi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Cehennem Deresinde Cennet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Çambaşı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Turnalık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Yaylası Aydınlatma ve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Ablaktaş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Mevkii Seyir Terası ve Yürüyüş Rotası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Çamlıhemşin İlçesi Afet Konutları-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Mollaveyis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Köprüsü Arası Parapet Duvar ve Kenar Hendeği Beton Kaplama İşi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Çaykara Akdoğan Soğanlı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Sultanmurat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Yaylası Limonsuyu Yaylası Bayburt İl Sınırı Yolu BSK Asfalt ve Kanal Yapım İşi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0B0068" w:rsidRDefault="00D13696" w:rsidP="000B0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Diriliş Sosyal Tesisi Korkut Ata Rekreasyon Hizmet Alanı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Görele ve Çevresi Turizm Odaklı Yerel Kalkınma ve Destinasyon Alanı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Hatuniye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Mahallesinin Turizm Potansiyelinin Arttırılması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Hemşin Gölet Kenarı Turizm Altyapısı Geliştirme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Kaçkar Dağları Milli Parkı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Galer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Düzü Günübirlik Alan ve Çadırlı Kamp Alanı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Samsun İncesu Ormanı Karavan Park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Tokat Yer Altı Çarşısı ve Meydanının Turizme Kazandırılması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Default="00D13696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Tunca Belediyesi Dere Ağzı Tesisleri Doğa Parkuru Projesi</w:t>
            </w:r>
          </w:p>
          <w:p w:rsidR="000B0068" w:rsidRDefault="000B0068" w:rsidP="000B0068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13696" w:rsidRDefault="00D13696" w:rsidP="000B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SOSYAL İÇERME:</w:t>
            </w:r>
          </w:p>
          <w:p w:rsidR="00D13696" w:rsidRPr="00D13696" w:rsidRDefault="00D13696" w:rsidP="000B0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9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Anne bebek Etkileşimine ve Gelişimsel Olarak Riskli Bebeklere Müdahale Programı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Bakır Parmaklar El İşleme Atölyesi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Bir Kadın Bin Umut, Bir Emek Bin Yemek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Dil Konuşma Bozuklukları Terapi Odası ve Fiziksel Okur Yazarlık Salonu Kurulumu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Engelsiz Yaşam Merkezi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Gediksaray’da</w:t>
                  </w:r>
                  <w:proofErr w:type="spellEnd"/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Dokumacılık Yeniden Hayat Buluyor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Kuşaktan Kuşağa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Özel Eğitimde Yenilikçi Yaklaşımlar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Özelim, Eğleniyorum, Eğlenirken Öğreniyorum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Psikolojik İlk Yardım ve Travma Merkezi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Sanal Ortamda Ben de Varım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Sanat Atölyesi Oluşturulması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Topraktan </w:t>
                  </w:r>
                  <w:proofErr w:type="gramStart"/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Tezgaha</w:t>
                  </w:r>
                  <w:proofErr w:type="gramEnd"/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Kendir İpinin Serüveni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Yöresel Sanatlara Yenilikçi Dokunuşlar Tasarım ve Üretim Atölyesi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Yöresel Üretim Yerinde İstihdam Projesi</w:t>
                  </w:r>
                </w:p>
              </w:tc>
            </w:tr>
          </w:tbl>
          <w:p w:rsidR="00D13696" w:rsidRPr="00D13696" w:rsidRDefault="00D13696" w:rsidP="00D13696">
            <w:pPr>
              <w:pStyle w:val="ListeParagra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</w:p>
    <w:sectPr w:rsidR="00D53DC3" w:rsidRPr="00D53DC3" w:rsidSect="00282417"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E6" w:rsidRDefault="00A207E6" w:rsidP="00B92122">
      <w:pPr>
        <w:spacing w:after="0" w:line="240" w:lineRule="auto"/>
      </w:pPr>
      <w:r>
        <w:separator/>
      </w:r>
    </w:p>
  </w:endnote>
  <w:endnote w:type="continuationSeparator" w:id="0">
    <w:p w:rsidR="00A207E6" w:rsidRDefault="00A207E6" w:rsidP="00B9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22" w:rsidRDefault="00B92122" w:rsidP="00B92122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22" w:rsidRDefault="00B92122">
    <w:pPr>
      <w:pStyle w:val="Altbilgi"/>
      <w:jc w:val="center"/>
    </w:pPr>
  </w:p>
  <w:p w:rsidR="00B92122" w:rsidRDefault="00B921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E6" w:rsidRDefault="00A207E6" w:rsidP="00B92122">
      <w:pPr>
        <w:spacing w:after="0" w:line="240" w:lineRule="auto"/>
      </w:pPr>
      <w:r>
        <w:separator/>
      </w:r>
    </w:p>
  </w:footnote>
  <w:footnote w:type="continuationSeparator" w:id="0">
    <w:p w:rsidR="00A207E6" w:rsidRDefault="00A207E6" w:rsidP="00B9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59F"/>
    <w:multiLevelType w:val="hybridMultilevel"/>
    <w:tmpl w:val="635ADF26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A537D"/>
    <w:multiLevelType w:val="hybridMultilevel"/>
    <w:tmpl w:val="64A0C1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B0D48"/>
    <w:multiLevelType w:val="hybridMultilevel"/>
    <w:tmpl w:val="779886A4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A7EBE"/>
    <w:multiLevelType w:val="hybridMultilevel"/>
    <w:tmpl w:val="42203F76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7706A"/>
    <w:multiLevelType w:val="hybridMultilevel"/>
    <w:tmpl w:val="521C91B0"/>
    <w:lvl w:ilvl="0" w:tplc="E42E4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7C1D14"/>
    <w:multiLevelType w:val="hybridMultilevel"/>
    <w:tmpl w:val="9B7A190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721C4B"/>
    <w:multiLevelType w:val="hybridMultilevel"/>
    <w:tmpl w:val="7B30480C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6115D"/>
    <w:multiLevelType w:val="hybridMultilevel"/>
    <w:tmpl w:val="7BE0E6C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5755EE"/>
    <w:multiLevelType w:val="hybridMultilevel"/>
    <w:tmpl w:val="BD7231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3A480A"/>
    <w:multiLevelType w:val="hybridMultilevel"/>
    <w:tmpl w:val="3B709A28"/>
    <w:lvl w:ilvl="0" w:tplc="AE1035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8246B2"/>
    <w:multiLevelType w:val="hybridMultilevel"/>
    <w:tmpl w:val="9CFAADF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D65ED9"/>
    <w:multiLevelType w:val="hybridMultilevel"/>
    <w:tmpl w:val="91168B4E"/>
    <w:lvl w:ilvl="0" w:tplc="8078F766">
      <w:start w:val="202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C4102B0"/>
    <w:multiLevelType w:val="hybridMultilevel"/>
    <w:tmpl w:val="39C82AFC"/>
    <w:lvl w:ilvl="0" w:tplc="0B0E72C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F97DD4"/>
    <w:multiLevelType w:val="hybridMultilevel"/>
    <w:tmpl w:val="0B8AF5D8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C21E9"/>
    <w:multiLevelType w:val="hybridMultilevel"/>
    <w:tmpl w:val="510E17F8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F4519"/>
    <w:multiLevelType w:val="hybridMultilevel"/>
    <w:tmpl w:val="D460F28E"/>
    <w:lvl w:ilvl="0" w:tplc="D0AABBD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EC41BDC"/>
    <w:multiLevelType w:val="hybridMultilevel"/>
    <w:tmpl w:val="F1AE39EE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C71E0"/>
    <w:multiLevelType w:val="hybridMultilevel"/>
    <w:tmpl w:val="F644201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C786213"/>
    <w:multiLevelType w:val="hybridMultilevel"/>
    <w:tmpl w:val="61BCC6B8"/>
    <w:lvl w:ilvl="0" w:tplc="CA1E61B2">
      <w:start w:val="5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4"/>
    <w:rsid w:val="00000B19"/>
    <w:rsid w:val="00040CDD"/>
    <w:rsid w:val="00057E11"/>
    <w:rsid w:val="00065FF8"/>
    <w:rsid w:val="000A2F7C"/>
    <w:rsid w:val="000B0068"/>
    <w:rsid w:val="000B4ED4"/>
    <w:rsid w:val="000C2C83"/>
    <w:rsid w:val="000E397A"/>
    <w:rsid w:val="000E4D41"/>
    <w:rsid w:val="001206B2"/>
    <w:rsid w:val="00126C56"/>
    <w:rsid w:val="00155154"/>
    <w:rsid w:val="00161008"/>
    <w:rsid w:val="001613D4"/>
    <w:rsid w:val="00176BF2"/>
    <w:rsid w:val="00180CE3"/>
    <w:rsid w:val="001811B7"/>
    <w:rsid w:val="001A31AF"/>
    <w:rsid w:val="001C40A1"/>
    <w:rsid w:val="001D3738"/>
    <w:rsid w:val="001D5908"/>
    <w:rsid w:val="001E2AC9"/>
    <w:rsid w:val="0020641C"/>
    <w:rsid w:val="00227C41"/>
    <w:rsid w:val="00240E3E"/>
    <w:rsid w:val="002519B8"/>
    <w:rsid w:val="00256133"/>
    <w:rsid w:val="002640B2"/>
    <w:rsid w:val="00282417"/>
    <w:rsid w:val="00294CFB"/>
    <w:rsid w:val="0029629D"/>
    <w:rsid w:val="002A0972"/>
    <w:rsid w:val="002D412A"/>
    <w:rsid w:val="002D5032"/>
    <w:rsid w:val="002E12A8"/>
    <w:rsid w:val="002F55DE"/>
    <w:rsid w:val="00306935"/>
    <w:rsid w:val="00312C78"/>
    <w:rsid w:val="00313806"/>
    <w:rsid w:val="00335CF5"/>
    <w:rsid w:val="00343DFA"/>
    <w:rsid w:val="003542D4"/>
    <w:rsid w:val="0035470B"/>
    <w:rsid w:val="0035652C"/>
    <w:rsid w:val="00356BB3"/>
    <w:rsid w:val="003818C4"/>
    <w:rsid w:val="00392EF1"/>
    <w:rsid w:val="00396B74"/>
    <w:rsid w:val="003A04DC"/>
    <w:rsid w:val="003A2A71"/>
    <w:rsid w:val="004024ED"/>
    <w:rsid w:val="0043054C"/>
    <w:rsid w:val="00450058"/>
    <w:rsid w:val="00453893"/>
    <w:rsid w:val="00465795"/>
    <w:rsid w:val="004753EC"/>
    <w:rsid w:val="00484DD3"/>
    <w:rsid w:val="00491E12"/>
    <w:rsid w:val="004A26BD"/>
    <w:rsid w:val="004B1975"/>
    <w:rsid w:val="004C6C19"/>
    <w:rsid w:val="004D16A5"/>
    <w:rsid w:val="004E56FF"/>
    <w:rsid w:val="004F5D7D"/>
    <w:rsid w:val="005520EB"/>
    <w:rsid w:val="00556DA7"/>
    <w:rsid w:val="00566913"/>
    <w:rsid w:val="00586DF2"/>
    <w:rsid w:val="00593BA6"/>
    <w:rsid w:val="005A035B"/>
    <w:rsid w:val="005B107D"/>
    <w:rsid w:val="005B7C9C"/>
    <w:rsid w:val="005D020E"/>
    <w:rsid w:val="005F3B64"/>
    <w:rsid w:val="005F6C0F"/>
    <w:rsid w:val="00612076"/>
    <w:rsid w:val="00643944"/>
    <w:rsid w:val="0064579F"/>
    <w:rsid w:val="0065760A"/>
    <w:rsid w:val="00661E2F"/>
    <w:rsid w:val="006905A0"/>
    <w:rsid w:val="006B7D1E"/>
    <w:rsid w:val="006C6BBD"/>
    <w:rsid w:val="006D5F1F"/>
    <w:rsid w:val="00702133"/>
    <w:rsid w:val="00713953"/>
    <w:rsid w:val="00737F32"/>
    <w:rsid w:val="00750B6E"/>
    <w:rsid w:val="00753E24"/>
    <w:rsid w:val="007653EC"/>
    <w:rsid w:val="007A3B92"/>
    <w:rsid w:val="007D405D"/>
    <w:rsid w:val="007D4588"/>
    <w:rsid w:val="007E58D5"/>
    <w:rsid w:val="008026E0"/>
    <w:rsid w:val="00835009"/>
    <w:rsid w:val="00842BBC"/>
    <w:rsid w:val="008526B9"/>
    <w:rsid w:val="00852D09"/>
    <w:rsid w:val="00865F4D"/>
    <w:rsid w:val="008918CC"/>
    <w:rsid w:val="008A313F"/>
    <w:rsid w:val="008C10BD"/>
    <w:rsid w:val="008D4071"/>
    <w:rsid w:val="008E6EF2"/>
    <w:rsid w:val="00903B1D"/>
    <w:rsid w:val="00904538"/>
    <w:rsid w:val="00933669"/>
    <w:rsid w:val="00942258"/>
    <w:rsid w:val="00952A36"/>
    <w:rsid w:val="009846E1"/>
    <w:rsid w:val="00991D7E"/>
    <w:rsid w:val="009B61A7"/>
    <w:rsid w:val="009C261A"/>
    <w:rsid w:val="009D3FFD"/>
    <w:rsid w:val="009E04B7"/>
    <w:rsid w:val="009F11DF"/>
    <w:rsid w:val="00A06749"/>
    <w:rsid w:val="00A14E9C"/>
    <w:rsid w:val="00A207E6"/>
    <w:rsid w:val="00A30367"/>
    <w:rsid w:val="00A4306A"/>
    <w:rsid w:val="00A537F9"/>
    <w:rsid w:val="00A619D4"/>
    <w:rsid w:val="00A919BC"/>
    <w:rsid w:val="00AA3ADC"/>
    <w:rsid w:val="00AA5720"/>
    <w:rsid w:val="00AE45F3"/>
    <w:rsid w:val="00AF7626"/>
    <w:rsid w:val="00AF7F36"/>
    <w:rsid w:val="00B02F15"/>
    <w:rsid w:val="00B246E6"/>
    <w:rsid w:val="00B25C22"/>
    <w:rsid w:val="00B50130"/>
    <w:rsid w:val="00B8089D"/>
    <w:rsid w:val="00B90021"/>
    <w:rsid w:val="00B92122"/>
    <w:rsid w:val="00BA0CF0"/>
    <w:rsid w:val="00BA310B"/>
    <w:rsid w:val="00BB238F"/>
    <w:rsid w:val="00BC6E3B"/>
    <w:rsid w:val="00C16C95"/>
    <w:rsid w:val="00C4277C"/>
    <w:rsid w:val="00C443BC"/>
    <w:rsid w:val="00C62099"/>
    <w:rsid w:val="00C96F8B"/>
    <w:rsid w:val="00CF61AB"/>
    <w:rsid w:val="00D00D60"/>
    <w:rsid w:val="00D03500"/>
    <w:rsid w:val="00D1167E"/>
    <w:rsid w:val="00D12411"/>
    <w:rsid w:val="00D13696"/>
    <w:rsid w:val="00D14699"/>
    <w:rsid w:val="00D167B1"/>
    <w:rsid w:val="00D17000"/>
    <w:rsid w:val="00D31DE6"/>
    <w:rsid w:val="00D37BDB"/>
    <w:rsid w:val="00D53DC3"/>
    <w:rsid w:val="00D6515F"/>
    <w:rsid w:val="00D6746B"/>
    <w:rsid w:val="00D67B7C"/>
    <w:rsid w:val="00D81017"/>
    <w:rsid w:val="00D828A8"/>
    <w:rsid w:val="00DA23B8"/>
    <w:rsid w:val="00DB632F"/>
    <w:rsid w:val="00DC1B0D"/>
    <w:rsid w:val="00DC6851"/>
    <w:rsid w:val="00DC6AE2"/>
    <w:rsid w:val="00DD49A3"/>
    <w:rsid w:val="00DE223A"/>
    <w:rsid w:val="00DE2AA2"/>
    <w:rsid w:val="00DE3E63"/>
    <w:rsid w:val="00DE5678"/>
    <w:rsid w:val="00DF5318"/>
    <w:rsid w:val="00E00B23"/>
    <w:rsid w:val="00E145CE"/>
    <w:rsid w:val="00E223D8"/>
    <w:rsid w:val="00E31F35"/>
    <w:rsid w:val="00E56A73"/>
    <w:rsid w:val="00E7223F"/>
    <w:rsid w:val="00E9125B"/>
    <w:rsid w:val="00EC7726"/>
    <w:rsid w:val="00F47DDB"/>
    <w:rsid w:val="00F57194"/>
    <w:rsid w:val="00F57776"/>
    <w:rsid w:val="00F8390D"/>
    <w:rsid w:val="00F922B7"/>
    <w:rsid w:val="00FB20CC"/>
    <w:rsid w:val="00FB48DC"/>
    <w:rsid w:val="00FD6F6A"/>
    <w:rsid w:val="00FD71E3"/>
    <w:rsid w:val="00FD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15228-CA28-4497-95C9-00DB393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63"/>
  </w:style>
  <w:style w:type="paragraph" w:styleId="Balk1">
    <w:name w:val="heading 1"/>
    <w:basedOn w:val="Normal"/>
    <w:next w:val="Normal"/>
    <w:link w:val="Balk1Char"/>
    <w:uiPriority w:val="9"/>
    <w:qFormat/>
    <w:rsid w:val="00FD7A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7A6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7A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7A6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7A6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7A6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7A6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7A6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7A6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7A63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7A63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7A63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7A63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7A63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7A63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7A63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7A63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7A63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D7A63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D7A6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7A63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D7A6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FD7A63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D7A63"/>
    <w:rPr>
      <w:b/>
      <w:bCs/>
      <w:color w:val="70AD47" w:themeColor="accent6"/>
    </w:rPr>
  </w:style>
  <w:style w:type="character" w:styleId="Vurgu">
    <w:name w:val="Emphasis"/>
    <w:uiPriority w:val="20"/>
    <w:qFormat/>
    <w:rsid w:val="00FD7A63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D7A6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D7A63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D7A63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7A6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D7A63"/>
    <w:rPr>
      <w:b/>
      <w:bCs/>
      <w:i/>
      <w:iCs/>
    </w:rPr>
  </w:style>
  <w:style w:type="character" w:styleId="HafifVurgulama">
    <w:name w:val="Subtle Emphasis"/>
    <w:uiPriority w:val="19"/>
    <w:qFormat/>
    <w:rsid w:val="00FD7A63"/>
    <w:rPr>
      <w:i/>
      <w:iCs/>
    </w:rPr>
  </w:style>
  <w:style w:type="character" w:styleId="GlVurgulama">
    <w:name w:val="Intense Emphasis"/>
    <w:uiPriority w:val="21"/>
    <w:qFormat/>
    <w:rsid w:val="00FD7A63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D7A63"/>
    <w:rPr>
      <w:b/>
      <w:bCs/>
    </w:rPr>
  </w:style>
  <w:style w:type="character" w:styleId="GlBavuru">
    <w:name w:val="Intense Reference"/>
    <w:uiPriority w:val="32"/>
    <w:qFormat/>
    <w:rsid w:val="00FD7A63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D7A6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D7A63"/>
    <w:pPr>
      <w:outlineLvl w:val="9"/>
    </w:pPr>
  </w:style>
  <w:style w:type="paragraph" w:styleId="ListeParagraf">
    <w:name w:val="List Paragraph"/>
    <w:basedOn w:val="Normal"/>
    <w:uiPriority w:val="34"/>
    <w:qFormat/>
    <w:rsid w:val="00D31D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122"/>
  </w:style>
  <w:style w:type="paragraph" w:styleId="Altbilgi">
    <w:name w:val="footer"/>
    <w:basedOn w:val="Normal"/>
    <w:link w:val="Al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122"/>
  </w:style>
  <w:style w:type="paragraph" w:styleId="BalonMetni">
    <w:name w:val="Balloon Text"/>
    <w:basedOn w:val="Normal"/>
    <w:link w:val="BalonMetniChar"/>
    <w:uiPriority w:val="99"/>
    <w:semiHidden/>
    <w:unhideWhenUsed/>
    <w:rsid w:val="00D0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2%20YILI%20EVRAKLARI\2022%20Kurumsal%20Mali%20Durum%20ve%20Beklentiler%20Raporu\2022%20dokap%20excel%20grafik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ilion\Desktop\2022%20dokap%20excel%20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7504219286332822E-2"/>
          <c:y val="6.6884816967972452E-2"/>
          <c:w val="0.60183248370549425"/>
          <c:h val="0.84982690247831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'01 personel'!$C$3</c:f>
              <c:strCache>
                <c:ptCount val="1"/>
                <c:pt idx="0">
                  <c:v>2021 Yılı Personel Giderleri Harcamaları (Ocak-Haziran)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personel'!$C$4:$C$9</c:f>
              <c:numCache>
                <c:formatCode>#,##0.00;[Red]#,##0.00</c:formatCode>
                <c:ptCount val="6"/>
                <c:pt idx="0">
                  <c:v>354582</c:v>
                </c:pt>
                <c:pt idx="1">
                  <c:v>456903</c:v>
                </c:pt>
                <c:pt idx="2">
                  <c:v>372394</c:v>
                </c:pt>
                <c:pt idx="3">
                  <c:v>363633</c:v>
                </c:pt>
                <c:pt idx="4">
                  <c:v>469518</c:v>
                </c:pt>
                <c:pt idx="5">
                  <c:v>697846</c:v>
                </c:pt>
              </c:numCache>
            </c:numRef>
          </c:val>
        </c:ser>
        <c:ser>
          <c:idx val="1"/>
          <c:order val="1"/>
          <c:tx>
            <c:strRef>
              <c:f>'01 personel'!$D$3</c:f>
              <c:strCache>
                <c:ptCount val="1"/>
                <c:pt idx="0">
                  <c:v>2022 Yılı Personel Giderleri Harcamaları (Ocak-Haziran)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personel'!$D$4:$D$9</c:f>
              <c:numCache>
                <c:formatCode>#,##0.00;[Red]#,##0.00</c:formatCode>
                <c:ptCount val="6"/>
                <c:pt idx="0">
                  <c:v>580535.79</c:v>
                </c:pt>
                <c:pt idx="1">
                  <c:v>562465.16</c:v>
                </c:pt>
                <c:pt idx="2">
                  <c:v>696705.76</c:v>
                </c:pt>
                <c:pt idx="3">
                  <c:v>682478.16</c:v>
                </c:pt>
                <c:pt idx="4">
                  <c:v>767601.63</c:v>
                </c:pt>
                <c:pt idx="5">
                  <c:v>884374.93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99634576"/>
        <c:axId val="-199634032"/>
      </c:barChart>
      <c:catAx>
        <c:axId val="-19963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99634032"/>
        <c:crosses val="autoZero"/>
        <c:auto val="1"/>
        <c:lblAlgn val="ctr"/>
        <c:lblOffset val="100"/>
        <c:noMultiLvlLbl val="0"/>
      </c:catAx>
      <c:valAx>
        <c:axId val="-199634032"/>
        <c:scaling>
          <c:orientation val="minMax"/>
        </c:scaling>
        <c:delete val="0"/>
        <c:axPos val="l"/>
        <c:numFmt formatCode="#,##0.00;[Red]#,##0.00" sourceLinked="1"/>
        <c:majorTickMark val="out"/>
        <c:minorTickMark val="none"/>
        <c:tickLblPos val="nextTo"/>
        <c:crossAx val="-199634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33503035312941"/>
          <c:y val="6.4281515708739995E-2"/>
          <c:w val="0.49036446205681333"/>
          <c:h val="0.855671963160293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'02 skg'!$C$3</c:f>
              <c:strCache>
                <c:ptCount val="1"/>
                <c:pt idx="0">
                  <c:v>2021 Yılı Sosyal Güv.Kur.Dev.Prm.Gid. Harcamaları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skg'!$C$4:$C$9</c:f>
              <c:numCache>
                <c:formatCode>#,##0.00;[Red]#,##0.00</c:formatCode>
                <c:ptCount val="6"/>
                <c:pt idx="0">
                  <c:v>55038</c:v>
                </c:pt>
                <c:pt idx="1">
                  <c:v>69408</c:v>
                </c:pt>
                <c:pt idx="2">
                  <c:v>58608</c:v>
                </c:pt>
                <c:pt idx="3">
                  <c:v>56917</c:v>
                </c:pt>
                <c:pt idx="4">
                  <c:v>79984</c:v>
                </c:pt>
                <c:pt idx="5">
                  <c:v>131698</c:v>
                </c:pt>
              </c:numCache>
            </c:numRef>
          </c:val>
        </c:ser>
        <c:ser>
          <c:idx val="1"/>
          <c:order val="1"/>
          <c:tx>
            <c:strRef>
              <c:f>'02 skg'!$D$3</c:f>
              <c:strCache>
                <c:ptCount val="1"/>
                <c:pt idx="0">
                  <c:v>2022 Yılı Sosyal Güv.Kur.Dev.Prm.Gid. Harcamaları (Ocak-Haziran) </c:v>
                </c:pt>
              </c:strCache>
            </c:strRef>
          </c:tx>
          <c:invertIfNegative val="0"/>
          <c:dLbls>
            <c:numFmt formatCode="#,##0.00;[Red]#,##0.0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skg'!$D$4:$D$9</c:f>
              <c:numCache>
                <c:formatCode>#,##0.00;[Red]#,##0.00</c:formatCode>
                <c:ptCount val="6"/>
                <c:pt idx="0">
                  <c:v>88514.07</c:v>
                </c:pt>
                <c:pt idx="1">
                  <c:v>88702.75</c:v>
                </c:pt>
                <c:pt idx="2">
                  <c:v>106492.46</c:v>
                </c:pt>
                <c:pt idx="3">
                  <c:v>115055.32</c:v>
                </c:pt>
                <c:pt idx="4">
                  <c:v>131334.74</c:v>
                </c:pt>
                <c:pt idx="5">
                  <c:v>144714.85999999999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99633488"/>
        <c:axId val="-163259344"/>
      </c:barChart>
      <c:catAx>
        <c:axId val="-199633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259344"/>
        <c:crosses val="autoZero"/>
        <c:auto val="1"/>
        <c:lblAlgn val="ctr"/>
        <c:lblOffset val="100"/>
        <c:noMultiLvlLbl val="0"/>
      </c:catAx>
      <c:valAx>
        <c:axId val="-163259344"/>
        <c:scaling>
          <c:orientation val="minMax"/>
        </c:scaling>
        <c:delete val="0"/>
        <c:axPos val="l"/>
        <c:numFmt formatCode="#,##0.00;[Red]#,##0.00" sourceLinked="1"/>
        <c:majorTickMark val="out"/>
        <c:minorTickMark val="none"/>
        <c:tickLblPos val="nextTo"/>
        <c:crossAx val="-199633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'03 mal hizm.'!$C$3</c:f>
              <c:strCache>
                <c:ptCount val="1"/>
                <c:pt idx="0">
                  <c:v>2021 Yılı Mal ve Hizmet Alım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hizm.'!$C$4:$C$9</c:f>
              <c:numCache>
                <c:formatCode>#,##0</c:formatCode>
                <c:ptCount val="6"/>
                <c:pt idx="0">
                  <c:v>138279</c:v>
                </c:pt>
                <c:pt idx="1">
                  <c:v>610624</c:v>
                </c:pt>
                <c:pt idx="2">
                  <c:v>236610</c:v>
                </c:pt>
                <c:pt idx="3">
                  <c:v>645535</c:v>
                </c:pt>
                <c:pt idx="4">
                  <c:v>221107</c:v>
                </c:pt>
                <c:pt idx="5">
                  <c:v>456299</c:v>
                </c:pt>
              </c:numCache>
            </c:numRef>
          </c:val>
        </c:ser>
        <c:ser>
          <c:idx val="1"/>
          <c:order val="1"/>
          <c:tx>
            <c:strRef>
              <c:f>'03 mal hizm.'!$D$3</c:f>
              <c:strCache>
                <c:ptCount val="1"/>
                <c:pt idx="0">
                  <c:v>2022 Yılı Mal ve Hizmet Alım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hizm.'!$D$4:$D$9</c:f>
              <c:numCache>
                <c:formatCode>#,##0</c:formatCode>
                <c:ptCount val="6"/>
                <c:pt idx="0">
                  <c:v>390185.92</c:v>
                </c:pt>
                <c:pt idx="1">
                  <c:v>241215.84</c:v>
                </c:pt>
                <c:pt idx="2">
                  <c:v>490660</c:v>
                </c:pt>
                <c:pt idx="3">
                  <c:v>686775</c:v>
                </c:pt>
                <c:pt idx="4">
                  <c:v>147374</c:v>
                </c:pt>
                <c:pt idx="5">
                  <c:v>829173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3268048"/>
        <c:axId val="-163256624"/>
      </c:barChart>
      <c:catAx>
        <c:axId val="-163268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256624"/>
        <c:crosses val="autoZero"/>
        <c:auto val="1"/>
        <c:lblAlgn val="ctr"/>
        <c:lblOffset val="100"/>
        <c:noMultiLvlLbl val="0"/>
      </c:catAx>
      <c:valAx>
        <c:axId val="-16325662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63268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'05 cari trns.'!$C$3</c:f>
              <c:strCache>
                <c:ptCount val="1"/>
                <c:pt idx="0">
                  <c:v>2021 Yılı Cari Transferler 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trns.'!$C$4:$C$9</c:f>
              <c:numCache>
                <c:formatCode>#,##0</c:formatCode>
                <c:ptCount val="6"/>
                <c:pt idx="0">
                  <c:v>1840</c:v>
                </c:pt>
                <c:pt idx="1">
                  <c:v>290947</c:v>
                </c:pt>
                <c:pt idx="2">
                  <c:v>14800</c:v>
                </c:pt>
                <c:pt idx="3">
                  <c:v>9984</c:v>
                </c:pt>
                <c:pt idx="4">
                  <c:v>10919</c:v>
                </c:pt>
                <c:pt idx="5">
                  <c:v>8947</c:v>
                </c:pt>
              </c:numCache>
            </c:numRef>
          </c:val>
        </c:ser>
        <c:ser>
          <c:idx val="1"/>
          <c:order val="1"/>
          <c:tx>
            <c:strRef>
              <c:f>'05 cari trns.'!$D$3</c:f>
              <c:strCache>
                <c:ptCount val="1"/>
                <c:pt idx="0">
                  <c:v>2022 Yılı Cari Transferler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trns.'!$D$4:$D$9</c:f>
              <c:numCache>
                <c:formatCode>#,##0</c:formatCode>
                <c:ptCount val="6"/>
                <c:pt idx="0">
                  <c:v>5250</c:v>
                </c:pt>
                <c:pt idx="1">
                  <c:v>18841</c:v>
                </c:pt>
                <c:pt idx="2">
                  <c:v>28294.5</c:v>
                </c:pt>
                <c:pt idx="3">
                  <c:v>20797</c:v>
                </c:pt>
                <c:pt idx="4">
                  <c:v>15512</c:v>
                </c:pt>
                <c:pt idx="5">
                  <c:v>20079.5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3269136"/>
        <c:axId val="-163268592"/>
      </c:barChart>
      <c:catAx>
        <c:axId val="-163269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3268592"/>
        <c:crosses val="autoZero"/>
        <c:auto val="1"/>
        <c:lblAlgn val="ctr"/>
        <c:lblOffset val="100"/>
        <c:noMultiLvlLbl val="0"/>
      </c:catAx>
      <c:valAx>
        <c:axId val="-163268592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63269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'06 serm gid.'!$C$3</c:f>
              <c:strCache>
                <c:ptCount val="1"/>
                <c:pt idx="0">
                  <c:v>2021 Yılı Sermaye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gid.'!$C$4:$C$9</c:f>
              <c:numCache>
                <c:formatCode>#,##0</c:formatCode>
                <c:ptCount val="6"/>
                <c:pt idx="0">
                  <c:v>0</c:v>
                </c:pt>
                <c:pt idx="1">
                  <c:v>148680</c:v>
                </c:pt>
                <c:pt idx="2">
                  <c:v>0</c:v>
                </c:pt>
                <c:pt idx="3">
                  <c:v>130095</c:v>
                </c:pt>
                <c:pt idx="4">
                  <c:v>130095</c:v>
                </c:pt>
                <c:pt idx="5">
                  <c:v>241605</c:v>
                </c:pt>
              </c:numCache>
            </c:numRef>
          </c:val>
        </c:ser>
        <c:ser>
          <c:idx val="1"/>
          <c:order val="1"/>
          <c:tx>
            <c:strRef>
              <c:f>'06 serm gid.'!$D$3</c:f>
              <c:strCache>
                <c:ptCount val="1"/>
                <c:pt idx="0">
                  <c:v>2022 Yılı Sermaye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gid.'!$D$4:$D$9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63264240"/>
        <c:axId val="-271043168"/>
      </c:barChart>
      <c:catAx>
        <c:axId val="-163264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71043168"/>
        <c:crosses val="autoZero"/>
        <c:auto val="1"/>
        <c:lblAlgn val="ctr"/>
        <c:lblOffset val="100"/>
        <c:noMultiLvlLbl val="0"/>
      </c:catAx>
      <c:valAx>
        <c:axId val="-27104316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6326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'07 serm. trans'!$C$3</c:f>
              <c:strCache>
                <c:ptCount val="1"/>
                <c:pt idx="0">
                  <c:v>2021 Yılı SermayeTransferleri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trans'!$C$4:$C$9</c:f>
              <c:numCache>
                <c:formatCode>General</c:formatCode>
                <c:ptCount val="6"/>
                <c:pt idx="4" formatCode="#,##0">
                  <c:v>280844</c:v>
                </c:pt>
                <c:pt idx="5" formatCode="#,##0">
                  <c:v>2829126</c:v>
                </c:pt>
              </c:numCache>
            </c:numRef>
          </c:val>
        </c:ser>
        <c:ser>
          <c:idx val="1"/>
          <c:order val="1"/>
          <c:tx>
            <c:strRef>
              <c:f>'07 serm. trans'!$D$3</c:f>
              <c:strCache>
                <c:ptCount val="1"/>
                <c:pt idx="0">
                  <c:v>2022 Yılı Sermaye Transferleri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trans'!$D$4:$D$9</c:f>
              <c:numCache>
                <c:formatCode>General</c:formatCode>
                <c:ptCount val="6"/>
                <c:pt idx="5" formatCode="#,##0">
                  <c:v>66682.820000000007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71036096"/>
        <c:axId val="-271033376"/>
      </c:barChart>
      <c:catAx>
        <c:axId val="-27103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71033376"/>
        <c:crosses val="autoZero"/>
        <c:auto val="1"/>
        <c:lblAlgn val="ctr"/>
        <c:lblOffset val="100"/>
        <c:noMultiLvlLbl val="0"/>
      </c:catAx>
      <c:valAx>
        <c:axId val="-2710333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271036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'!$C$3</c:f>
              <c:strCache>
                <c:ptCount val="1"/>
                <c:pt idx="0">
                  <c:v>2021 Yılı Ocak-Haziran Gelir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4208565753037936E-3"/>
                  <c:y val="-3.15581854043392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'!$C$4:$C$6</c:f>
              <c:numCache>
                <c:formatCode>#,##0.00\ "TL"</c:formatCode>
                <c:ptCount val="3"/>
                <c:pt idx="0">
                  <c:v>0</c:v>
                </c:pt>
                <c:pt idx="1">
                  <c:v>14515400</c:v>
                </c:pt>
                <c:pt idx="2">
                  <c:v>2123079.94</c:v>
                </c:pt>
              </c:numCache>
            </c:numRef>
          </c:val>
        </c:ser>
        <c:ser>
          <c:idx val="1"/>
          <c:order val="1"/>
          <c:tx>
            <c:strRef>
              <c:f>'Gelir '!$D$3</c:f>
              <c:strCache>
                <c:ptCount val="1"/>
                <c:pt idx="0">
                  <c:v>2022 Yılı Ocak-Haziran Gelir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4208565753037936E-3"/>
                  <c:y val="-2.366863905325443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761341222879684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'!$D$4:$D$6</c:f>
              <c:numCache>
                <c:formatCode>#,##0.00\ "TL"</c:formatCode>
                <c:ptCount val="3"/>
                <c:pt idx="0">
                  <c:v>0</c:v>
                </c:pt>
                <c:pt idx="1">
                  <c:v>18204000</c:v>
                </c:pt>
                <c:pt idx="2">
                  <c:v>787474.53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71042080"/>
        <c:axId val="-271041536"/>
      </c:barChart>
      <c:catAx>
        <c:axId val="-27104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71041536"/>
        <c:crosses val="autoZero"/>
        <c:auto val="1"/>
        <c:lblAlgn val="ctr"/>
        <c:lblOffset val="100"/>
        <c:noMultiLvlLbl val="0"/>
      </c:catAx>
      <c:valAx>
        <c:axId val="-271041536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27104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'Gider Tahmin'!$C$5</c:f>
              <c:strCache>
                <c:ptCount val="1"/>
                <c:pt idx="0">
                  <c:v>2022 KBÖ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Tahmin'!$C$6:$C$11</c:f>
              <c:numCache>
                <c:formatCode>#,##0.00\ "TL"</c:formatCode>
                <c:ptCount val="6"/>
                <c:pt idx="0">
                  <c:v>5896000</c:v>
                </c:pt>
                <c:pt idx="1">
                  <c:v>986000</c:v>
                </c:pt>
                <c:pt idx="2">
                  <c:v>3535000</c:v>
                </c:pt>
                <c:pt idx="3">
                  <c:v>262000</c:v>
                </c:pt>
                <c:pt idx="4">
                  <c:v>0</c:v>
                </c:pt>
                <c:pt idx="5">
                  <c:v>98664000</c:v>
                </c:pt>
              </c:numCache>
            </c:numRef>
          </c:val>
        </c:ser>
        <c:ser>
          <c:idx val="1"/>
          <c:order val="1"/>
          <c:tx>
            <c:strRef>
              <c:f>'Gider Tahmin'!$D$5</c:f>
              <c:strCache>
                <c:ptCount val="1"/>
                <c:pt idx="0">
                  <c:v>İlk 6 Ay Harcama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Tahmin'!$D$6:$D$11</c:f>
              <c:numCache>
                <c:formatCode>#,##0.00\ "TL"</c:formatCode>
                <c:ptCount val="6"/>
                <c:pt idx="0">
                  <c:v>4174161.43</c:v>
                </c:pt>
                <c:pt idx="1">
                  <c:v>674814.2</c:v>
                </c:pt>
                <c:pt idx="2">
                  <c:v>2063495.25</c:v>
                </c:pt>
                <c:pt idx="3">
                  <c:v>108774</c:v>
                </c:pt>
                <c:pt idx="4">
                  <c:v>0</c:v>
                </c:pt>
                <c:pt idx="5">
                  <c:v>66682.820000000007</c:v>
                </c:pt>
              </c:numCache>
            </c:numRef>
          </c:val>
        </c:ser>
        <c:ser>
          <c:idx val="2"/>
          <c:order val="2"/>
          <c:tx>
            <c:strRef>
              <c:f>'Gider Tahmin'!$E$5</c:f>
              <c:strCache>
                <c:ptCount val="1"/>
                <c:pt idx="0">
                  <c:v>Yılsonu Harcama Tahmini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Tahmin'!$E$6:$E$11</c:f>
              <c:numCache>
                <c:formatCode>#,##0.00\ "TL"</c:formatCode>
                <c:ptCount val="6"/>
                <c:pt idx="0">
                  <c:v>10100000</c:v>
                </c:pt>
                <c:pt idx="1">
                  <c:v>1600000</c:v>
                </c:pt>
                <c:pt idx="2">
                  <c:v>5000000</c:v>
                </c:pt>
                <c:pt idx="3">
                  <c:v>216000</c:v>
                </c:pt>
                <c:pt idx="4">
                  <c:v>1500000</c:v>
                </c:pt>
                <c:pt idx="5">
                  <c:v>365599000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273039984"/>
        <c:axId val="-273042160"/>
      </c:barChart>
      <c:catAx>
        <c:axId val="-27303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73042160"/>
        <c:crosses val="autoZero"/>
        <c:auto val="1"/>
        <c:lblAlgn val="ctr"/>
        <c:lblOffset val="100"/>
        <c:noMultiLvlLbl val="0"/>
      </c:catAx>
      <c:valAx>
        <c:axId val="-273042160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27303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Tahmin'!$C$4</c:f>
              <c:strCache>
                <c:ptCount val="1"/>
                <c:pt idx="0">
                  <c:v>2021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Tahmin'!$C$5:$C$7</c:f>
              <c:numCache>
                <c:formatCode>#,##0.00\ "TL"</c:formatCode>
                <c:ptCount val="3"/>
                <c:pt idx="0">
                  <c:v>0</c:v>
                </c:pt>
                <c:pt idx="1">
                  <c:v>94799000</c:v>
                </c:pt>
                <c:pt idx="2">
                  <c:v>2158080</c:v>
                </c:pt>
              </c:numCache>
            </c:numRef>
          </c:val>
        </c:ser>
        <c:ser>
          <c:idx val="1"/>
          <c:order val="1"/>
          <c:tx>
            <c:strRef>
              <c:f>'Gelir Tahmin'!$D$4</c:f>
              <c:strCache>
                <c:ptCount val="1"/>
                <c:pt idx="0">
                  <c:v>2022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Tahmin'!$D$5:$D$7</c:f>
              <c:numCache>
                <c:formatCode>#,##0.00\ "TL"</c:formatCode>
                <c:ptCount val="3"/>
                <c:pt idx="0">
                  <c:v>0</c:v>
                </c:pt>
                <c:pt idx="1">
                  <c:v>383015000</c:v>
                </c:pt>
                <c:pt idx="2">
                  <c:v>1000000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326811088"/>
        <c:axId val="-160690704"/>
      </c:barChart>
      <c:catAx>
        <c:axId val="-326811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0690704"/>
        <c:crosses val="autoZero"/>
        <c:auto val="1"/>
        <c:lblAlgn val="ctr"/>
        <c:lblOffset val="100"/>
        <c:noMultiLvlLbl val="0"/>
      </c:catAx>
      <c:valAx>
        <c:axId val="-160690704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32681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 Cetinkaya</dc:creator>
  <cp:lastModifiedBy>Bulut Cetinkaya</cp:lastModifiedBy>
  <cp:revision>16</cp:revision>
  <dcterms:created xsi:type="dcterms:W3CDTF">2022-07-27T09:39:00Z</dcterms:created>
  <dcterms:modified xsi:type="dcterms:W3CDTF">2022-08-08T10:34:00Z</dcterms:modified>
</cp:coreProperties>
</file>